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 w:val="0"/>
          <w:kern w:val="4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44"/>
          <w:sz w:val="32"/>
          <w:szCs w:val="32"/>
          <w:lang w:val="en-US" w:eastAsia="zh-CN"/>
        </w:rPr>
        <w:t>附件3</w:t>
      </w:r>
      <w:bookmarkStart w:id="9" w:name="_GoBack"/>
      <w:bookmarkEnd w:id="9"/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</w:rPr>
        <w:t>新建区流湖片区土地征收成片开发方案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  <w:lang w:val="en-US" w:eastAsia="zh-CN"/>
        </w:rPr>
        <w:t>征求意见稿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</w:rPr>
        <w:t>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  <w:lang w:val="en-US" w:eastAsia="zh-CN"/>
        </w:rPr>
        <w:t>主要内容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一、编制依据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仿宋_GB2312" w:eastAsia="仿宋_GB2312" w:cs="仿宋_GB2312"/>
          <w:kern w:val="0"/>
          <w:sz w:val="28"/>
          <w:szCs w:val="28"/>
        </w:rPr>
      </w:pPr>
      <w:r>
        <w:rPr>
          <w:rFonts w:hint="eastAsia" w:ascii="仿宋_GB2312" w:eastAsia="仿宋_GB2312" w:cs="仿宋_GB2312"/>
          <w:kern w:val="0"/>
          <w:sz w:val="28"/>
          <w:szCs w:val="28"/>
        </w:rPr>
        <w:t>根据</w:t>
      </w:r>
      <w:r>
        <w:rPr>
          <w:rFonts w:hint="eastAsia" w:ascii="仿宋_GB2312" w:hAnsi="Times New Roman" w:eastAsia="仿宋_GB2312" w:cs="Times New Roman"/>
          <w:sz w:val="28"/>
          <w:szCs w:val="28"/>
        </w:rPr>
        <w:t>《自然资源部关于印发&lt;土地征收成片开发标准（试行）&gt;的通知》（自然资规〔2020〕5号）、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《江西省人民政府办公厅关于执行土地征收成片开发标准</w:t>
      </w:r>
      <w:r>
        <w:rPr>
          <w:rFonts w:ascii="仿宋_GB2312" w:eastAsia="仿宋_GB2312" w:cs="仿宋_GB2312"/>
          <w:kern w:val="0"/>
          <w:sz w:val="28"/>
          <w:szCs w:val="28"/>
        </w:rPr>
        <w:t>(试行)的指导意见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》（赣府厅发〔</w:t>
      </w:r>
      <w:r>
        <w:rPr>
          <w:rFonts w:ascii="仿宋_GB2312" w:eastAsia="仿宋_GB2312" w:cs="仿宋_GB2312"/>
          <w:kern w:val="0"/>
          <w:sz w:val="28"/>
          <w:szCs w:val="28"/>
        </w:rPr>
        <w:t>2021〕2号）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</w:rPr>
        <w:t>《江西省自然资源厅办公室关于认真贯彻执行新&lt;土地管理法</w:t>
      </w:r>
      <w:r>
        <w:rPr>
          <w:rFonts w:hint="eastAsia" w:ascii="仿宋_GB2312" w:hAnsi="Times New Roman" w:eastAsia="仿宋_GB2312" w:cs="Times New Roman"/>
          <w:sz w:val="28"/>
          <w:szCs w:val="28"/>
        </w:rPr>
        <w:t>&gt;</w:t>
      </w:r>
      <w:r>
        <w:rPr>
          <w:rFonts w:hint="eastAsia" w:ascii="仿宋_GB2312" w:hAnsi="仿宋_GB2312" w:eastAsia="仿宋_GB2312" w:cs="仿宋_GB2312"/>
          <w:sz w:val="28"/>
          <w:szCs w:val="28"/>
        </w:rPr>
        <w:t>切实做好土地征收工作</w:t>
      </w:r>
      <w:r>
        <w:rPr>
          <w:rFonts w:hint="eastAsia" w:ascii="仿宋_GB2312" w:hAnsi="Times New Roman" w:eastAsia="仿宋_GB2312" w:cs="Times New Roman"/>
          <w:sz w:val="28"/>
          <w:szCs w:val="28"/>
        </w:rPr>
        <w:t>的通知》</w:t>
      </w:r>
      <w:r>
        <w:rPr>
          <w:rFonts w:ascii="仿宋_GB2312" w:hAnsi="Times New Roman" w:eastAsia="仿宋_GB2312" w:cs="Times New Roman"/>
          <w:sz w:val="28"/>
          <w:szCs w:val="28"/>
        </w:rPr>
        <w:t>（赣自然资</w:t>
      </w:r>
      <w:r>
        <w:rPr>
          <w:rFonts w:hint="eastAsia" w:ascii="仿宋_GB2312" w:hAnsi="Times New Roman" w:eastAsia="仿宋_GB2312" w:cs="Times New Roman"/>
          <w:sz w:val="28"/>
          <w:szCs w:val="28"/>
        </w:rPr>
        <w:t>办</w:t>
      </w:r>
      <w:r>
        <w:rPr>
          <w:rFonts w:ascii="仿宋_GB2312" w:hAnsi="Times New Roman" w:eastAsia="仿宋_GB2312" w:cs="Times New Roman"/>
          <w:sz w:val="28"/>
          <w:szCs w:val="28"/>
        </w:rPr>
        <w:t>发〔2020〕20号）</w:t>
      </w:r>
      <w:r>
        <w:rPr>
          <w:rFonts w:hint="eastAsia" w:ascii="仿宋_GB2312" w:hAnsi="Times New Roman" w:eastAsia="仿宋_GB2312" w:cs="Times New Roman"/>
          <w:sz w:val="28"/>
          <w:szCs w:val="28"/>
        </w:rPr>
        <w:t>、新建区国民经济和社会发展规划、年度计划、《新建区土地利用总体规划延续完善方案》、《新建区</w:t>
      </w:r>
      <w:r>
        <w:rPr>
          <w:rFonts w:ascii="仿宋_GB2312" w:hAnsi="Times New Roman" w:eastAsia="仿宋_GB2312" w:cs="Times New Roman"/>
          <w:sz w:val="28"/>
          <w:szCs w:val="28"/>
        </w:rPr>
        <w:t>流湖镇总体规划（</w:t>
      </w:r>
      <w:r>
        <w:rPr>
          <w:rFonts w:hint="eastAsia" w:ascii="仿宋_GB2312" w:hAnsi="Times New Roman" w:eastAsia="仿宋_GB2312" w:cs="Times New Roman"/>
          <w:sz w:val="28"/>
          <w:szCs w:val="28"/>
        </w:rPr>
        <w:t>2</w:t>
      </w:r>
      <w:r>
        <w:rPr>
          <w:rFonts w:ascii="仿宋_GB2312" w:hAnsi="Times New Roman" w:eastAsia="仿宋_GB2312" w:cs="Times New Roman"/>
          <w:sz w:val="28"/>
          <w:szCs w:val="28"/>
        </w:rPr>
        <w:t>017-2030</w:t>
      </w:r>
      <w:r>
        <w:rPr>
          <w:rFonts w:hint="eastAsia" w:ascii="仿宋_GB2312" w:hAnsi="Times New Roman" w:eastAsia="仿宋_GB2312" w:cs="Times New Roman"/>
          <w:sz w:val="28"/>
          <w:szCs w:val="28"/>
        </w:rPr>
        <w:t>）》等，编制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《新建区流湖片区土地征收成片开发方案（</w:t>
      </w:r>
      <w:r>
        <w:rPr>
          <w:rFonts w:ascii="仿宋_GB2312" w:eastAsia="仿宋_GB2312" w:cs="仿宋_GB2312"/>
          <w:kern w:val="0"/>
          <w:sz w:val="28"/>
          <w:szCs w:val="28"/>
        </w:rPr>
        <w:t>2021-2023年）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》。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0" w:name="_Toc69736442"/>
      <w:r>
        <w:rPr>
          <w:rFonts w:hint="eastAsia" w:ascii="黑体" w:hAnsi="黑体" w:eastAsia="黑体"/>
          <w:b w:val="0"/>
          <w:bCs w:val="0"/>
          <w:sz w:val="32"/>
          <w:szCs w:val="32"/>
        </w:rPr>
        <w:t>二、基本情况</w:t>
      </w:r>
      <w:bookmarkEnd w:id="0"/>
    </w:p>
    <w:p>
      <w:pPr>
        <w:spacing w:line="360" w:lineRule="auto"/>
        <w:ind w:firstLine="560" w:firstLineChars="200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本成片开发方案编制范围位于流湖镇东北部，</w:t>
      </w:r>
      <w:r>
        <w:rPr>
          <w:rFonts w:ascii="仿宋_GB2312" w:hAnsi="Times New Roman" w:eastAsia="仿宋_GB2312" w:cs="Times New Roman"/>
          <w:sz w:val="28"/>
          <w:szCs w:val="28"/>
        </w:rPr>
        <w:t>S105梦山一厚田段以北，桃花源筑以南，S105生米—石岗段以东，G5002南昌绕城高速以西，总面积37.15公顷</w:t>
      </w:r>
      <w:r>
        <w:rPr>
          <w:rFonts w:hint="eastAsia" w:ascii="仿宋_GB2312" w:hAnsi="Times New Roman" w:eastAsia="仿宋_GB2312" w:cs="Times New Roman"/>
          <w:sz w:val="28"/>
          <w:szCs w:val="28"/>
        </w:rPr>
        <w:t>。其中农用地</w:t>
      </w:r>
      <w:r>
        <w:rPr>
          <w:rFonts w:ascii="仿宋_GB2312" w:hAnsi="Times New Roman" w:eastAsia="仿宋_GB2312" w:cs="Times New Roman"/>
          <w:sz w:val="28"/>
          <w:szCs w:val="28"/>
        </w:rPr>
        <w:t>34.94</w:t>
      </w:r>
      <w:r>
        <w:rPr>
          <w:rFonts w:hint="eastAsia" w:ascii="仿宋_GB2312" w:hAnsi="Times New Roman" w:eastAsia="仿宋_GB2312" w:cs="Times New Roman"/>
          <w:sz w:val="28"/>
          <w:szCs w:val="28"/>
        </w:rPr>
        <w:t>公顷（</w:t>
      </w:r>
      <w:r>
        <w:rPr>
          <w:rFonts w:hint="eastAsia" w:ascii="仿宋_GB2312" w:eastAsia="仿宋_GB2312"/>
          <w:sz w:val="28"/>
          <w:szCs w:val="28"/>
        </w:rPr>
        <w:t>占用耕地面积为</w:t>
      </w:r>
      <w:r>
        <w:rPr>
          <w:rFonts w:ascii="仿宋_GB2312" w:hAnsi="Times New Roman" w:eastAsia="仿宋_GB2312" w:cs="Times New Roman"/>
          <w:sz w:val="28"/>
          <w:szCs w:val="28"/>
        </w:rPr>
        <w:t>30.21</w:t>
      </w:r>
      <w:r>
        <w:rPr>
          <w:rFonts w:hint="eastAsia" w:ascii="仿宋_GB2312" w:hAnsi="Times New Roman" w:eastAsia="仿宋_GB2312" w:cs="Times New Roman"/>
          <w:sz w:val="28"/>
          <w:szCs w:val="28"/>
        </w:rPr>
        <w:t>公顷，其中水田9</w:t>
      </w:r>
      <w:r>
        <w:rPr>
          <w:rFonts w:ascii="仿宋_GB2312" w:hAnsi="Times New Roman" w:eastAsia="仿宋_GB2312" w:cs="Times New Roman"/>
          <w:sz w:val="28"/>
          <w:szCs w:val="28"/>
        </w:rPr>
        <w:t>.2</w:t>
      </w:r>
      <w:r>
        <w:rPr>
          <w:rFonts w:hint="eastAsia" w:ascii="仿宋_GB2312" w:hAnsi="Times New Roman" w:eastAsia="仿宋_GB2312" w:cs="Times New Roman"/>
          <w:sz w:val="28"/>
          <w:szCs w:val="28"/>
        </w:rPr>
        <w:t>公顷）、建设用地</w:t>
      </w:r>
      <w:r>
        <w:rPr>
          <w:rFonts w:ascii="仿宋_GB2312" w:hAnsi="Times New Roman" w:eastAsia="仿宋_GB2312" w:cs="Times New Roman"/>
          <w:sz w:val="28"/>
          <w:szCs w:val="28"/>
        </w:rPr>
        <w:t>1.92</w:t>
      </w:r>
      <w:r>
        <w:rPr>
          <w:rFonts w:hint="eastAsia" w:ascii="仿宋_GB2312" w:hAnsi="Times New Roman" w:eastAsia="仿宋_GB2312" w:cs="Times New Roman"/>
          <w:sz w:val="28"/>
          <w:szCs w:val="28"/>
        </w:rPr>
        <w:t>公顷、未利用地</w:t>
      </w:r>
      <w:r>
        <w:rPr>
          <w:rFonts w:ascii="仿宋_GB2312" w:hAnsi="Times New Roman" w:eastAsia="仿宋_GB2312" w:cs="Times New Roman"/>
          <w:sz w:val="28"/>
          <w:szCs w:val="28"/>
        </w:rPr>
        <w:t>0.29</w:t>
      </w:r>
      <w:r>
        <w:rPr>
          <w:rFonts w:hint="eastAsia" w:ascii="仿宋_GB2312" w:hAnsi="Times New Roman" w:eastAsia="仿宋_GB2312" w:cs="Times New Roman"/>
          <w:sz w:val="28"/>
          <w:szCs w:val="28"/>
        </w:rPr>
        <w:t>公顷。涉及流湖镇</w:t>
      </w:r>
      <w:r>
        <w:rPr>
          <w:rFonts w:hint="eastAsia" w:ascii="仿宋_GB2312" w:hAnsi="仿宋_GB2312" w:eastAsia="仿宋_GB2312" w:cs="仿宋_GB2312"/>
          <w:sz w:val="28"/>
          <w:szCs w:val="28"/>
        </w:rPr>
        <w:t>北港村、车塘村、南岗村3个村。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1" w:name="_Toc69736450"/>
      <w:r>
        <w:rPr>
          <w:rFonts w:hint="eastAsia" w:ascii="黑体" w:hAnsi="黑体" w:eastAsia="黑体"/>
          <w:b w:val="0"/>
          <w:bCs w:val="0"/>
          <w:sz w:val="32"/>
          <w:szCs w:val="32"/>
        </w:rPr>
        <w:t>三、必要性</w:t>
      </w:r>
      <w:bookmarkEnd w:id="1"/>
    </w:p>
    <w:p>
      <w:pPr>
        <w:spacing w:line="360" w:lineRule="auto"/>
        <w:ind w:firstLine="64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流湖片区将依托温泉资源，打造温泉城南部配套完善的宜居的综合功能区。科学编制土地征收成片开发方案，有利于将流湖片区建成和谐秀美、设施配套完善的宜居城镇；</w:t>
      </w:r>
      <w:r>
        <w:rPr>
          <w:rFonts w:ascii="仿宋_GB2312" w:eastAsia="仿宋_GB2312"/>
          <w:sz w:val="28"/>
          <w:szCs w:val="28"/>
        </w:rPr>
        <w:t>有利于优化城乡生态和人居环境，提升城乡发展品质提升和城乡融合发展水平。</w:t>
      </w:r>
      <w:r>
        <w:rPr>
          <w:rFonts w:hint="eastAsia" w:ascii="仿宋_GB2312" w:eastAsia="仿宋_GB2312"/>
          <w:sz w:val="28"/>
          <w:szCs w:val="28"/>
        </w:rPr>
        <w:t>以温泉、休闲、疗养、度假为区域标志品牌，发挥产业效应、资源优势，加大宣传，以温泉度假旅游及服务为发展特色的集贸型城镇，带动全镇域发展，吸引广大投资商和游客来流湖投资和旅游，带动流湖社会经济的快速发展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2" w:name="_Toc69736453"/>
      <w:r>
        <w:rPr>
          <w:rFonts w:hint="eastAsia" w:ascii="黑体" w:hAnsi="黑体" w:eastAsia="黑体"/>
          <w:b w:val="0"/>
          <w:bCs w:val="0"/>
          <w:sz w:val="32"/>
          <w:szCs w:val="32"/>
        </w:rPr>
        <w:t>四、合规性</w:t>
      </w:r>
      <w:bookmarkEnd w:id="2"/>
    </w:p>
    <w:p>
      <w:pPr>
        <w:spacing w:line="360" w:lineRule="auto"/>
        <w:ind w:firstLine="640"/>
        <w:rPr>
          <w:rFonts w:hint="eastAsia" w:ascii="仿宋_GB2312" w:hAnsi="Times New Roman" w:eastAsia="仿宋_GB2312"/>
          <w:sz w:val="28"/>
          <w:szCs w:val="28"/>
        </w:rPr>
      </w:pPr>
      <w:bookmarkStart w:id="3" w:name="_Toc69736454"/>
      <w:r>
        <w:rPr>
          <w:rFonts w:hint="eastAsia" w:ascii="仿宋_GB2312" w:eastAsia="仿宋_GB2312"/>
          <w:sz w:val="28"/>
          <w:szCs w:val="28"/>
        </w:rPr>
        <w:t>本片区成片开发方案符合</w:t>
      </w:r>
      <w:bookmarkEnd w:id="3"/>
      <w:r>
        <w:rPr>
          <w:rFonts w:hint="eastAsia" w:ascii="仿宋_GB2312" w:hAnsi="Times New Roman" w:eastAsia="仿宋_GB2312"/>
          <w:sz w:val="28"/>
          <w:szCs w:val="28"/>
        </w:rPr>
        <w:t>新建区国民经济和社会发展规划、符合新建区国民经济和社会发展年度计划，成片开发范围位于土地利用总体规划的允许建设区，位于流湖镇总体规划用地范围内。不涉及占用永久基本农田保护红线、生态保护红线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不涉及占用自然保护地、一级保护林地、历史文化街区名镇名村等特定区域，不涉及土壤污染或疑似污染地块，成片开发范围没有位于地质灾害易发区，区域内地质灾害为不易发，不涉及占用</w:t>
      </w:r>
      <w:r>
        <w:rPr>
          <w:rFonts w:ascii="仿宋_GB2312" w:eastAsia="仿宋_GB2312"/>
          <w:sz w:val="28"/>
        </w:rPr>
        <w:t>采矿探矿权范围</w:t>
      </w:r>
      <w:r>
        <w:rPr>
          <w:rFonts w:hint="eastAsia" w:ascii="仿宋_GB2312" w:eastAsia="仿宋_GB2312"/>
          <w:sz w:val="28"/>
        </w:rPr>
        <w:t>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4" w:name="_Toc69736458"/>
      <w:r>
        <w:rPr>
          <w:rFonts w:hint="eastAsia" w:ascii="黑体" w:hAnsi="黑体" w:eastAsia="黑体"/>
          <w:b w:val="0"/>
          <w:bCs w:val="0"/>
          <w:sz w:val="32"/>
          <w:szCs w:val="32"/>
        </w:rPr>
        <w:t>五、主要用途和实现功能</w:t>
      </w:r>
      <w:bookmarkEnd w:id="4"/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本成片开发方案用地总面积</w:t>
      </w:r>
      <w:r>
        <w:rPr>
          <w:rFonts w:ascii="仿宋_GB2312" w:eastAsia="仿宋_GB2312"/>
          <w:sz w:val="28"/>
        </w:rPr>
        <w:t>37.15</w:t>
      </w:r>
      <w:r>
        <w:rPr>
          <w:rFonts w:hint="eastAsia" w:ascii="仿宋_GB2312" w:eastAsia="仿宋_GB2312"/>
          <w:sz w:val="28"/>
        </w:rPr>
        <w:t>公顷，规划用途为绿地与广场用地</w:t>
      </w:r>
      <w:r>
        <w:rPr>
          <w:rFonts w:ascii="仿宋_GB2312" w:eastAsia="仿宋_GB2312"/>
          <w:sz w:val="28"/>
        </w:rPr>
        <w:t>0.19公顷，占比为0.51</w:t>
      </w:r>
      <w:r>
        <w:rPr>
          <w:rFonts w:hint="eastAsia" w:ascii="仿宋_GB2312" w:eastAsia="仿宋_GB2312"/>
          <w:sz w:val="28"/>
        </w:rPr>
        <w:t>％；商业服务业设施用地</w:t>
      </w:r>
      <w:r>
        <w:rPr>
          <w:rFonts w:ascii="仿宋_GB2312" w:eastAsia="仿宋_GB2312"/>
          <w:sz w:val="28"/>
        </w:rPr>
        <w:t>3公顷，占比为8.08</w:t>
      </w:r>
      <w:r>
        <w:rPr>
          <w:rFonts w:hint="eastAsia" w:ascii="仿宋_GB2312" w:eastAsia="仿宋_GB2312"/>
          <w:sz w:val="28"/>
        </w:rPr>
        <w:t>％；居住用地</w:t>
      </w:r>
      <w:r>
        <w:rPr>
          <w:rFonts w:ascii="仿宋_GB2312" w:eastAsia="仿宋_GB2312"/>
          <w:sz w:val="28"/>
        </w:rPr>
        <w:t>18.68公顷，占比为50.28</w:t>
      </w:r>
      <w:r>
        <w:rPr>
          <w:rFonts w:hint="eastAsia" w:ascii="仿宋_GB2312" w:eastAsia="仿宋_GB2312"/>
          <w:sz w:val="28"/>
        </w:rPr>
        <w:t>％；道路与交通设施用地</w:t>
      </w:r>
      <w:r>
        <w:rPr>
          <w:rFonts w:ascii="仿宋_GB2312" w:eastAsia="仿宋_GB2312"/>
          <w:sz w:val="28"/>
        </w:rPr>
        <w:t>15.28公顷，占比为41.13</w:t>
      </w:r>
      <w:r>
        <w:rPr>
          <w:rFonts w:hint="eastAsia" w:ascii="仿宋_GB2312" w:eastAsia="仿宋_GB2312"/>
          <w:sz w:val="28"/>
        </w:rPr>
        <w:t>％。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区域土地征收成片开发主要为保障区域发展必要的基础设施、配套设施以及养老地产等居住用途，和谐大道、温泉大道、流湖大道、南岗大道、朝阳大道等道路建设，将为“四横两纵”道路骨架的形成奠定基础，有利于拉开城市总体框架，有利于区域与红谷滩区及周边乡镇的紧密连接。商住项目用地及场站用地的开发将为区域养老产业吸引大量的人口、资源等，有利于区域养老产业的发展，服务于全力打造以养老地产为主体功能的居住片区，提升区域的整体风貌及人居环境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5" w:name="_Toc69736462"/>
      <w:r>
        <w:rPr>
          <w:rFonts w:hint="eastAsia" w:ascii="黑体" w:hAnsi="黑体" w:eastAsia="黑体"/>
          <w:b w:val="0"/>
          <w:bCs w:val="0"/>
          <w:sz w:val="32"/>
          <w:szCs w:val="32"/>
        </w:rPr>
        <w:t>六、成片开发计划</w:t>
      </w:r>
      <w:bookmarkEnd w:id="5"/>
    </w:p>
    <w:p>
      <w:pPr>
        <w:ind w:firstLine="64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成片开发方案</w:t>
      </w:r>
      <w:r>
        <w:rPr>
          <w:rFonts w:ascii="仿宋_GB2312" w:hAnsi="仿宋_GB2312" w:eastAsia="仿宋_GB2312" w:cs="仿宋_GB2312"/>
          <w:sz w:val="28"/>
          <w:szCs w:val="28"/>
        </w:rPr>
        <w:t>实施期限为</w:t>
      </w:r>
      <w:r>
        <w:rPr>
          <w:rFonts w:hint="eastAsia" w:ascii="仿宋_GB2312" w:hAnsi="仿宋_GB2312" w:eastAsia="仿宋_GB2312" w:cs="仿宋_GB2312"/>
          <w:sz w:val="28"/>
          <w:szCs w:val="28"/>
        </w:rPr>
        <w:t>三</w:t>
      </w:r>
      <w:r>
        <w:rPr>
          <w:rFonts w:ascii="仿宋_GB2312" w:hAnsi="仿宋_GB2312" w:eastAsia="仿宋_GB2312" w:cs="仿宋_GB2312"/>
          <w:sz w:val="28"/>
          <w:szCs w:val="28"/>
        </w:rPr>
        <w:t>年，</w:t>
      </w:r>
      <w:r>
        <w:rPr>
          <w:rFonts w:hint="eastAsia" w:ascii="仿宋_GB2312" w:hAnsi="仿宋_GB2312" w:eastAsia="仿宋_GB2312" w:cs="仿宋_GB2312"/>
          <w:sz w:val="28"/>
          <w:szCs w:val="28"/>
        </w:rPr>
        <w:t>项目建设规模可行、内容有保障，采取的节约集约用地措施可行，</w:t>
      </w:r>
      <w:r>
        <w:rPr>
          <w:rFonts w:ascii="仿宋_GB2312" w:hAnsi="仿宋_GB2312" w:eastAsia="仿宋_GB2312" w:cs="仿宋_GB2312"/>
          <w:sz w:val="28"/>
          <w:szCs w:val="28"/>
        </w:rPr>
        <w:t>成片开发计划具备可行性。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6" w:name="_Toc69736470"/>
      <w:r>
        <w:rPr>
          <w:rFonts w:hint="eastAsia" w:ascii="黑体" w:hAnsi="黑体" w:eastAsia="黑体"/>
          <w:b w:val="0"/>
          <w:bCs w:val="0"/>
          <w:sz w:val="32"/>
          <w:szCs w:val="32"/>
        </w:rPr>
        <w:t>七、公益性用地情况</w:t>
      </w:r>
      <w:bookmarkEnd w:id="6"/>
    </w:p>
    <w:p>
      <w:pPr>
        <w:spacing w:line="360" w:lineRule="auto"/>
        <w:ind w:firstLine="560" w:firstLineChars="200"/>
      </w:pPr>
      <w:r>
        <w:rPr>
          <w:rFonts w:hint="eastAsia" w:ascii="仿宋_GB2312" w:hAnsi="仿宋_GB2312" w:eastAsia="仿宋_GB2312" w:cs="仿宋_GB2312"/>
          <w:sz w:val="28"/>
          <w:szCs w:val="28"/>
        </w:rPr>
        <w:t>本片区成片开发方案总面积</w:t>
      </w:r>
      <w:r>
        <w:rPr>
          <w:rFonts w:ascii="仿宋_GB2312" w:hAnsi="仿宋_GB2312" w:eastAsia="仿宋_GB2312" w:cs="仿宋_GB2312"/>
          <w:sz w:val="28"/>
          <w:szCs w:val="28"/>
        </w:rPr>
        <w:t>37.15</w:t>
      </w:r>
      <w:r>
        <w:rPr>
          <w:rFonts w:hint="eastAsia" w:ascii="仿宋_GB2312" w:hAnsi="仿宋_GB2312" w:eastAsia="仿宋_GB2312" w:cs="仿宋_GB2312"/>
          <w:sz w:val="28"/>
          <w:szCs w:val="28"/>
        </w:rPr>
        <w:t>公顷，涉及公益性用地包括道路与交通设施用地、绿地与广场用地，合计1</w:t>
      </w:r>
      <w:r>
        <w:rPr>
          <w:rFonts w:ascii="仿宋_GB2312" w:hAnsi="仿宋_GB2312" w:eastAsia="仿宋_GB2312" w:cs="仿宋_GB2312"/>
          <w:sz w:val="28"/>
          <w:szCs w:val="28"/>
        </w:rPr>
        <w:t>5.74</w:t>
      </w:r>
      <w:r>
        <w:rPr>
          <w:rFonts w:hint="eastAsia" w:ascii="仿宋_GB2312" w:hAnsi="仿宋_GB2312" w:eastAsia="仿宋_GB2312" w:cs="仿宋_GB2312"/>
          <w:sz w:val="28"/>
          <w:szCs w:val="28"/>
        </w:rPr>
        <w:t>公顷，占用地总面积的4</w:t>
      </w:r>
      <w:r>
        <w:rPr>
          <w:rFonts w:ascii="仿宋_GB2312" w:hAnsi="仿宋_GB2312" w:eastAsia="仿宋_GB2312" w:cs="仿宋_GB2312"/>
          <w:sz w:val="28"/>
          <w:szCs w:val="28"/>
        </w:rPr>
        <w:t>1.64</w:t>
      </w:r>
      <w:r>
        <w:rPr>
          <w:rFonts w:hint="eastAsia" w:ascii="仿宋_GB2312" w:hAnsi="仿宋_GB2312" w:eastAsia="仿宋_GB2312" w:cs="仿宋_GB2312"/>
          <w:sz w:val="28"/>
          <w:szCs w:val="28"/>
        </w:rPr>
        <w:t>％，符合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赣府厅发〔</w:t>
      </w:r>
      <w:r>
        <w:rPr>
          <w:rFonts w:ascii="仿宋_GB2312" w:eastAsia="仿宋_GB2312" w:cs="仿宋_GB2312"/>
          <w:kern w:val="0"/>
          <w:sz w:val="28"/>
          <w:szCs w:val="28"/>
        </w:rPr>
        <w:t>2021〕2号</w:t>
      </w:r>
      <w:r>
        <w:rPr>
          <w:rFonts w:hint="eastAsia" w:ascii="仿宋_GB2312" w:eastAsia="仿宋_GB2312" w:cs="仿宋_GB2312"/>
          <w:kern w:val="0"/>
          <w:sz w:val="28"/>
          <w:szCs w:val="28"/>
        </w:rPr>
        <w:t>文规定。</w:t>
      </w: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7" w:name="_Toc69736471"/>
      <w:r>
        <w:rPr>
          <w:rFonts w:hint="eastAsia" w:ascii="黑体" w:hAnsi="黑体" w:eastAsia="黑体"/>
          <w:b w:val="0"/>
          <w:bCs w:val="0"/>
          <w:sz w:val="32"/>
          <w:szCs w:val="32"/>
        </w:rPr>
        <w:t>八、</w:t>
      </w:r>
      <w:bookmarkEnd w:id="7"/>
      <w:r>
        <w:rPr>
          <w:rFonts w:hint="eastAsia" w:ascii="黑体" w:hAnsi="黑体" w:eastAsia="黑体"/>
          <w:b w:val="0"/>
          <w:bCs w:val="0"/>
          <w:sz w:val="32"/>
          <w:szCs w:val="32"/>
        </w:rPr>
        <w:t>成片开发的土地利用及经济、社会、生态效益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成片开发方案科学确定了年度成片开发的规模、用途及规划强度，有利于强化规划的引领作用，有利于优化土地利用空间格局，因地制宜配置用地，充分发挥土地要素在流湖片区建设发展中的作用，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项目区的开发建设具有良好的经济效益。能够带动当地就业，提升居民生活水平，提升城镇品质，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增强</w:t>
      </w:r>
      <w:r>
        <w:rPr>
          <w:rFonts w:hint="eastAsia" w:ascii="仿宋_GB2312" w:hAnsi="仿宋_GB2312" w:eastAsia="仿宋_GB2312" w:cs="仿宋_GB2312"/>
          <w:sz w:val="28"/>
          <w:szCs w:val="28"/>
        </w:rPr>
        <w:t>城镇吸引力。有利于改善人居环境、创新绿色发展。</w:t>
      </w:r>
    </w:p>
    <w:p>
      <w:pPr>
        <w:rPr>
          <w:rFonts w:ascii="仿宋_GB2312" w:hAnsi="仿宋_GB2312" w:eastAsia="仿宋_GB2312" w:cs="仿宋_GB2312"/>
          <w:kern w:val="0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spacing w:line="240" w:lineRule="auto"/>
        <w:ind w:left="0"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bookmarkStart w:id="8" w:name="_Toc69736491"/>
      <w:r>
        <w:rPr>
          <w:rFonts w:hint="eastAsia" w:ascii="黑体" w:hAnsi="黑体" w:eastAsia="黑体"/>
          <w:b w:val="0"/>
          <w:bCs w:val="0"/>
          <w:sz w:val="32"/>
          <w:szCs w:val="32"/>
        </w:rPr>
        <w:t>附图</w:t>
      </w:r>
      <w:bookmarkEnd w:id="8"/>
    </w:p>
    <w:p>
      <w:pPr>
        <w:jc w:val="center"/>
        <w:rPr>
          <w:rFonts w:ascii="仿宋_GB2312" w:hAnsi="仿宋_GB2312" w:eastAsia="仿宋_GB2312" w:cs="仿宋_GB2312"/>
          <w:kern w:val="0"/>
          <w:sz w:val="28"/>
          <w:szCs w:val="28"/>
        </w:rPr>
        <w:sectPr>
          <w:pgSz w:w="23811" w:h="16838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仿宋_GB2312" w:eastAsia="仿宋_GB2312" w:cs="仿宋_GB2312"/>
          <w:kern w:val="0"/>
          <w:sz w:val="28"/>
          <w:szCs w:val="28"/>
        </w:rPr>
        <w:drawing>
          <wp:inline distT="0" distB="0" distL="0" distR="0">
            <wp:extent cx="11034395" cy="7810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9625" cy="78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kern w:val="0"/>
          <w:sz w:val="28"/>
          <w:szCs w:val="28"/>
        </w:rPr>
        <w:sectPr>
          <w:pgSz w:w="23811" w:h="16838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仿宋_GB2312" w:eastAsia="仿宋_GB2312" w:cs="仿宋_GB2312"/>
          <w:kern w:val="0"/>
          <w:sz w:val="28"/>
          <w:szCs w:val="28"/>
        </w:rPr>
        <w:drawing>
          <wp:inline distT="0" distB="0" distL="0" distR="0">
            <wp:extent cx="11881485" cy="840994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148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kern w:val="0"/>
          <w:sz w:val="28"/>
          <w:szCs w:val="28"/>
        </w:rPr>
      </w:pPr>
      <w:r>
        <w:rPr>
          <w:rFonts w:ascii="仿宋_GB2312" w:hAnsi="仿宋_GB2312" w:eastAsia="仿宋_GB2312" w:cs="仿宋_GB2312"/>
          <w:kern w:val="0"/>
          <w:sz w:val="28"/>
          <w:szCs w:val="28"/>
        </w:rPr>
        <w:drawing>
          <wp:inline distT="0" distB="0" distL="0" distR="0">
            <wp:extent cx="11881485" cy="840994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148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70252574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63"/>
    <w:rsid w:val="00002990"/>
    <w:rsid w:val="00006A39"/>
    <w:rsid w:val="00021358"/>
    <w:rsid w:val="0002636E"/>
    <w:rsid w:val="00034D98"/>
    <w:rsid w:val="00035302"/>
    <w:rsid w:val="00044CF4"/>
    <w:rsid w:val="0004620D"/>
    <w:rsid w:val="0004666E"/>
    <w:rsid w:val="00050931"/>
    <w:rsid w:val="00055F67"/>
    <w:rsid w:val="00060E47"/>
    <w:rsid w:val="00064FD9"/>
    <w:rsid w:val="00071B2D"/>
    <w:rsid w:val="000721EE"/>
    <w:rsid w:val="00075EBC"/>
    <w:rsid w:val="000812B6"/>
    <w:rsid w:val="00081EE2"/>
    <w:rsid w:val="00084F32"/>
    <w:rsid w:val="0008792B"/>
    <w:rsid w:val="00095539"/>
    <w:rsid w:val="00095B8B"/>
    <w:rsid w:val="000A1077"/>
    <w:rsid w:val="000A1658"/>
    <w:rsid w:val="000A60A2"/>
    <w:rsid w:val="000B193E"/>
    <w:rsid w:val="000C761A"/>
    <w:rsid w:val="000C7AC1"/>
    <w:rsid w:val="000D2683"/>
    <w:rsid w:val="000D53B3"/>
    <w:rsid w:val="000E43F0"/>
    <w:rsid w:val="00100D8D"/>
    <w:rsid w:val="00100EE0"/>
    <w:rsid w:val="00101DB0"/>
    <w:rsid w:val="00102897"/>
    <w:rsid w:val="0010659D"/>
    <w:rsid w:val="00112F50"/>
    <w:rsid w:val="00116210"/>
    <w:rsid w:val="001331DA"/>
    <w:rsid w:val="00141D48"/>
    <w:rsid w:val="00150D9A"/>
    <w:rsid w:val="00152203"/>
    <w:rsid w:val="00153287"/>
    <w:rsid w:val="0016462A"/>
    <w:rsid w:val="00172115"/>
    <w:rsid w:val="001746AF"/>
    <w:rsid w:val="001777DC"/>
    <w:rsid w:val="0018342C"/>
    <w:rsid w:val="001936E2"/>
    <w:rsid w:val="00196223"/>
    <w:rsid w:val="00197248"/>
    <w:rsid w:val="001A0411"/>
    <w:rsid w:val="001A13B0"/>
    <w:rsid w:val="001A57E9"/>
    <w:rsid w:val="001A7845"/>
    <w:rsid w:val="001B0804"/>
    <w:rsid w:val="001C1906"/>
    <w:rsid w:val="001C6D7B"/>
    <w:rsid w:val="001C7025"/>
    <w:rsid w:val="001D0CE8"/>
    <w:rsid w:val="001D0FFA"/>
    <w:rsid w:val="001D21B3"/>
    <w:rsid w:val="001D228A"/>
    <w:rsid w:val="001D5874"/>
    <w:rsid w:val="001E6B39"/>
    <w:rsid w:val="001F05B5"/>
    <w:rsid w:val="001F106E"/>
    <w:rsid w:val="001F4DF9"/>
    <w:rsid w:val="001F692B"/>
    <w:rsid w:val="002032B3"/>
    <w:rsid w:val="00203630"/>
    <w:rsid w:val="00217520"/>
    <w:rsid w:val="002200DF"/>
    <w:rsid w:val="0022743E"/>
    <w:rsid w:val="002378EE"/>
    <w:rsid w:val="00237C7B"/>
    <w:rsid w:val="00246E08"/>
    <w:rsid w:val="00262CBB"/>
    <w:rsid w:val="00265FC8"/>
    <w:rsid w:val="00270D34"/>
    <w:rsid w:val="00271387"/>
    <w:rsid w:val="00273723"/>
    <w:rsid w:val="00274DD8"/>
    <w:rsid w:val="00277468"/>
    <w:rsid w:val="0028000A"/>
    <w:rsid w:val="00283954"/>
    <w:rsid w:val="00283E5A"/>
    <w:rsid w:val="00284164"/>
    <w:rsid w:val="00284D80"/>
    <w:rsid w:val="002853A5"/>
    <w:rsid w:val="00287056"/>
    <w:rsid w:val="0028762C"/>
    <w:rsid w:val="002905B6"/>
    <w:rsid w:val="00290795"/>
    <w:rsid w:val="00295AE7"/>
    <w:rsid w:val="00297F13"/>
    <w:rsid w:val="002A089A"/>
    <w:rsid w:val="002A1B28"/>
    <w:rsid w:val="002A4A40"/>
    <w:rsid w:val="002B113E"/>
    <w:rsid w:val="002B6D07"/>
    <w:rsid w:val="002C03E3"/>
    <w:rsid w:val="002C6ED2"/>
    <w:rsid w:val="002D07C0"/>
    <w:rsid w:val="002D5095"/>
    <w:rsid w:val="002D5AF4"/>
    <w:rsid w:val="002D745B"/>
    <w:rsid w:val="002D7C48"/>
    <w:rsid w:val="002E1D30"/>
    <w:rsid w:val="002F7C84"/>
    <w:rsid w:val="003021A4"/>
    <w:rsid w:val="00305C47"/>
    <w:rsid w:val="003077B3"/>
    <w:rsid w:val="00314EAD"/>
    <w:rsid w:val="00317F1B"/>
    <w:rsid w:val="00322345"/>
    <w:rsid w:val="0032544F"/>
    <w:rsid w:val="00331593"/>
    <w:rsid w:val="003356B4"/>
    <w:rsid w:val="00347FC8"/>
    <w:rsid w:val="00353F95"/>
    <w:rsid w:val="00354113"/>
    <w:rsid w:val="00360F2C"/>
    <w:rsid w:val="00362914"/>
    <w:rsid w:val="003644D5"/>
    <w:rsid w:val="00366272"/>
    <w:rsid w:val="00367716"/>
    <w:rsid w:val="00374380"/>
    <w:rsid w:val="00377A59"/>
    <w:rsid w:val="00380DAF"/>
    <w:rsid w:val="00384B05"/>
    <w:rsid w:val="00386887"/>
    <w:rsid w:val="00391A4C"/>
    <w:rsid w:val="00392B93"/>
    <w:rsid w:val="00394689"/>
    <w:rsid w:val="003A0CF6"/>
    <w:rsid w:val="003A357A"/>
    <w:rsid w:val="003B0E72"/>
    <w:rsid w:val="003C2F42"/>
    <w:rsid w:val="003C4345"/>
    <w:rsid w:val="003C69F4"/>
    <w:rsid w:val="003D20B4"/>
    <w:rsid w:val="003D48BB"/>
    <w:rsid w:val="003E0B1E"/>
    <w:rsid w:val="003E3287"/>
    <w:rsid w:val="003F0A1D"/>
    <w:rsid w:val="003F1AA7"/>
    <w:rsid w:val="003F3EF1"/>
    <w:rsid w:val="003F6FBA"/>
    <w:rsid w:val="00405A4E"/>
    <w:rsid w:val="00405D7E"/>
    <w:rsid w:val="00406171"/>
    <w:rsid w:val="0041053E"/>
    <w:rsid w:val="00414551"/>
    <w:rsid w:val="00416DB3"/>
    <w:rsid w:val="004244B6"/>
    <w:rsid w:val="00442B8A"/>
    <w:rsid w:val="00442BBF"/>
    <w:rsid w:val="004515A8"/>
    <w:rsid w:val="00456AA6"/>
    <w:rsid w:val="00456E8B"/>
    <w:rsid w:val="004665E4"/>
    <w:rsid w:val="004675EB"/>
    <w:rsid w:val="004715DC"/>
    <w:rsid w:val="00473D1F"/>
    <w:rsid w:val="004753FA"/>
    <w:rsid w:val="00493D35"/>
    <w:rsid w:val="0049467C"/>
    <w:rsid w:val="00494BB5"/>
    <w:rsid w:val="00496A29"/>
    <w:rsid w:val="004A0ED3"/>
    <w:rsid w:val="004A1F88"/>
    <w:rsid w:val="004A2E08"/>
    <w:rsid w:val="004A3BC9"/>
    <w:rsid w:val="004B0BC6"/>
    <w:rsid w:val="004B4DF4"/>
    <w:rsid w:val="004C3598"/>
    <w:rsid w:val="004C4E1C"/>
    <w:rsid w:val="004D117D"/>
    <w:rsid w:val="004D6877"/>
    <w:rsid w:val="004D6AAB"/>
    <w:rsid w:val="004E6FE3"/>
    <w:rsid w:val="004E7688"/>
    <w:rsid w:val="004F245D"/>
    <w:rsid w:val="004F7BEC"/>
    <w:rsid w:val="005030BD"/>
    <w:rsid w:val="005036B8"/>
    <w:rsid w:val="00504C3A"/>
    <w:rsid w:val="00505813"/>
    <w:rsid w:val="00515173"/>
    <w:rsid w:val="00540931"/>
    <w:rsid w:val="00540E2E"/>
    <w:rsid w:val="00543056"/>
    <w:rsid w:val="00543B46"/>
    <w:rsid w:val="00545B1A"/>
    <w:rsid w:val="00552936"/>
    <w:rsid w:val="0055484E"/>
    <w:rsid w:val="005566FE"/>
    <w:rsid w:val="005570D2"/>
    <w:rsid w:val="0056061C"/>
    <w:rsid w:val="00573261"/>
    <w:rsid w:val="00573D0F"/>
    <w:rsid w:val="005743B1"/>
    <w:rsid w:val="00576531"/>
    <w:rsid w:val="00581C33"/>
    <w:rsid w:val="00586EF0"/>
    <w:rsid w:val="00590C44"/>
    <w:rsid w:val="005A4265"/>
    <w:rsid w:val="005B70B0"/>
    <w:rsid w:val="005B73CE"/>
    <w:rsid w:val="005B792B"/>
    <w:rsid w:val="005B7CC5"/>
    <w:rsid w:val="005C1497"/>
    <w:rsid w:val="005C6E6D"/>
    <w:rsid w:val="005D4FC4"/>
    <w:rsid w:val="005D5C03"/>
    <w:rsid w:val="005E1B3B"/>
    <w:rsid w:val="005E77F4"/>
    <w:rsid w:val="005F5CFB"/>
    <w:rsid w:val="005F68D2"/>
    <w:rsid w:val="00607182"/>
    <w:rsid w:val="00607541"/>
    <w:rsid w:val="0061135A"/>
    <w:rsid w:val="006136A8"/>
    <w:rsid w:val="006213D9"/>
    <w:rsid w:val="00624472"/>
    <w:rsid w:val="00626CAA"/>
    <w:rsid w:val="00627EF1"/>
    <w:rsid w:val="00630EE8"/>
    <w:rsid w:val="0063310B"/>
    <w:rsid w:val="00633F60"/>
    <w:rsid w:val="0063572A"/>
    <w:rsid w:val="00637347"/>
    <w:rsid w:val="00640947"/>
    <w:rsid w:val="006414B2"/>
    <w:rsid w:val="00644E65"/>
    <w:rsid w:val="00645927"/>
    <w:rsid w:val="006461AC"/>
    <w:rsid w:val="006465B3"/>
    <w:rsid w:val="00652FF3"/>
    <w:rsid w:val="006530A8"/>
    <w:rsid w:val="006572BE"/>
    <w:rsid w:val="0065741B"/>
    <w:rsid w:val="006574A9"/>
    <w:rsid w:val="006577A3"/>
    <w:rsid w:val="00660A98"/>
    <w:rsid w:val="0066320F"/>
    <w:rsid w:val="00672A51"/>
    <w:rsid w:val="00672D46"/>
    <w:rsid w:val="006830EC"/>
    <w:rsid w:val="00684295"/>
    <w:rsid w:val="006936EB"/>
    <w:rsid w:val="00694CFA"/>
    <w:rsid w:val="006A21F4"/>
    <w:rsid w:val="006B6F27"/>
    <w:rsid w:val="006C51B3"/>
    <w:rsid w:val="006C6408"/>
    <w:rsid w:val="006C68EA"/>
    <w:rsid w:val="006D49E9"/>
    <w:rsid w:val="006E0F99"/>
    <w:rsid w:val="006E0FAF"/>
    <w:rsid w:val="006E10EC"/>
    <w:rsid w:val="006E21DF"/>
    <w:rsid w:val="006E6E7F"/>
    <w:rsid w:val="006F6C32"/>
    <w:rsid w:val="007112E0"/>
    <w:rsid w:val="00713B40"/>
    <w:rsid w:val="00715B6E"/>
    <w:rsid w:val="007169F3"/>
    <w:rsid w:val="00722A70"/>
    <w:rsid w:val="007241C6"/>
    <w:rsid w:val="00726291"/>
    <w:rsid w:val="007274E8"/>
    <w:rsid w:val="007342AF"/>
    <w:rsid w:val="00736833"/>
    <w:rsid w:val="00737969"/>
    <w:rsid w:val="007406D9"/>
    <w:rsid w:val="00746B19"/>
    <w:rsid w:val="00753CC2"/>
    <w:rsid w:val="00753CED"/>
    <w:rsid w:val="007552DE"/>
    <w:rsid w:val="007628DA"/>
    <w:rsid w:val="00763F99"/>
    <w:rsid w:val="007729B0"/>
    <w:rsid w:val="00772E6F"/>
    <w:rsid w:val="00775D76"/>
    <w:rsid w:val="00781E9A"/>
    <w:rsid w:val="00791C74"/>
    <w:rsid w:val="007925C7"/>
    <w:rsid w:val="007A6269"/>
    <w:rsid w:val="007B1462"/>
    <w:rsid w:val="007B510D"/>
    <w:rsid w:val="007B68C1"/>
    <w:rsid w:val="007C21C5"/>
    <w:rsid w:val="007C317B"/>
    <w:rsid w:val="007C758F"/>
    <w:rsid w:val="007D0CBF"/>
    <w:rsid w:val="007D17DB"/>
    <w:rsid w:val="007D3D05"/>
    <w:rsid w:val="007D6D36"/>
    <w:rsid w:val="007E2559"/>
    <w:rsid w:val="007E2678"/>
    <w:rsid w:val="007E4379"/>
    <w:rsid w:val="007F1209"/>
    <w:rsid w:val="007F1EEE"/>
    <w:rsid w:val="007F275D"/>
    <w:rsid w:val="007F75F2"/>
    <w:rsid w:val="00800EBC"/>
    <w:rsid w:val="00804B1D"/>
    <w:rsid w:val="00814563"/>
    <w:rsid w:val="0081581C"/>
    <w:rsid w:val="008217B5"/>
    <w:rsid w:val="00824775"/>
    <w:rsid w:val="00831BF4"/>
    <w:rsid w:val="00832822"/>
    <w:rsid w:val="0083390C"/>
    <w:rsid w:val="00837F29"/>
    <w:rsid w:val="0085219C"/>
    <w:rsid w:val="00852972"/>
    <w:rsid w:val="008543E3"/>
    <w:rsid w:val="00856C18"/>
    <w:rsid w:val="00861EB8"/>
    <w:rsid w:val="00863A19"/>
    <w:rsid w:val="0086552D"/>
    <w:rsid w:val="008745FC"/>
    <w:rsid w:val="0088297D"/>
    <w:rsid w:val="00883B91"/>
    <w:rsid w:val="00883E18"/>
    <w:rsid w:val="00892A10"/>
    <w:rsid w:val="0089457F"/>
    <w:rsid w:val="008978BF"/>
    <w:rsid w:val="00897A4D"/>
    <w:rsid w:val="008A265C"/>
    <w:rsid w:val="008A40A8"/>
    <w:rsid w:val="008B00D2"/>
    <w:rsid w:val="008B2C9D"/>
    <w:rsid w:val="008B4603"/>
    <w:rsid w:val="008C3290"/>
    <w:rsid w:val="008C4239"/>
    <w:rsid w:val="008C7BEC"/>
    <w:rsid w:val="008E0456"/>
    <w:rsid w:val="008E09A1"/>
    <w:rsid w:val="008F0C5F"/>
    <w:rsid w:val="008F1072"/>
    <w:rsid w:val="008F3EEF"/>
    <w:rsid w:val="008F60A2"/>
    <w:rsid w:val="0090374B"/>
    <w:rsid w:val="00904A06"/>
    <w:rsid w:val="00915AD7"/>
    <w:rsid w:val="00915E55"/>
    <w:rsid w:val="00921972"/>
    <w:rsid w:val="00923D14"/>
    <w:rsid w:val="009271FE"/>
    <w:rsid w:val="00930369"/>
    <w:rsid w:val="009361CF"/>
    <w:rsid w:val="00943758"/>
    <w:rsid w:val="0094625C"/>
    <w:rsid w:val="00950D9E"/>
    <w:rsid w:val="00951987"/>
    <w:rsid w:val="009556F4"/>
    <w:rsid w:val="00955BDE"/>
    <w:rsid w:val="00957C3D"/>
    <w:rsid w:val="00962EBF"/>
    <w:rsid w:val="00964537"/>
    <w:rsid w:val="00967068"/>
    <w:rsid w:val="00972E6B"/>
    <w:rsid w:val="009751CB"/>
    <w:rsid w:val="0098307D"/>
    <w:rsid w:val="00993E5B"/>
    <w:rsid w:val="00997B1C"/>
    <w:rsid w:val="00997ECD"/>
    <w:rsid w:val="009A0FA7"/>
    <w:rsid w:val="009A2DE2"/>
    <w:rsid w:val="009A599F"/>
    <w:rsid w:val="009A613F"/>
    <w:rsid w:val="009B248A"/>
    <w:rsid w:val="009B2D0A"/>
    <w:rsid w:val="009B5B22"/>
    <w:rsid w:val="009B5D7A"/>
    <w:rsid w:val="009B7BBD"/>
    <w:rsid w:val="009C106C"/>
    <w:rsid w:val="009C16C6"/>
    <w:rsid w:val="009C35D8"/>
    <w:rsid w:val="009C66C9"/>
    <w:rsid w:val="009D4481"/>
    <w:rsid w:val="009D5448"/>
    <w:rsid w:val="009D5A3B"/>
    <w:rsid w:val="009E18F8"/>
    <w:rsid w:val="009E36E9"/>
    <w:rsid w:val="009E685E"/>
    <w:rsid w:val="009E7258"/>
    <w:rsid w:val="009F3A77"/>
    <w:rsid w:val="009F5D72"/>
    <w:rsid w:val="009F5DE2"/>
    <w:rsid w:val="00A00FAF"/>
    <w:rsid w:val="00A05374"/>
    <w:rsid w:val="00A077C5"/>
    <w:rsid w:val="00A24AF9"/>
    <w:rsid w:val="00A31B05"/>
    <w:rsid w:val="00A373AA"/>
    <w:rsid w:val="00A42E0A"/>
    <w:rsid w:val="00A440EE"/>
    <w:rsid w:val="00A44CBB"/>
    <w:rsid w:val="00A45917"/>
    <w:rsid w:val="00A52F46"/>
    <w:rsid w:val="00A533FC"/>
    <w:rsid w:val="00A60748"/>
    <w:rsid w:val="00A63F1E"/>
    <w:rsid w:val="00A640DD"/>
    <w:rsid w:val="00A75F4F"/>
    <w:rsid w:val="00A813F2"/>
    <w:rsid w:val="00A8198C"/>
    <w:rsid w:val="00A831CC"/>
    <w:rsid w:val="00A83444"/>
    <w:rsid w:val="00A83C0A"/>
    <w:rsid w:val="00A94D98"/>
    <w:rsid w:val="00A96ADE"/>
    <w:rsid w:val="00A9779E"/>
    <w:rsid w:val="00AA2478"/>
    <w:rsid w:val="00AA7863"/>
    <w:rsid w:val="00AB4CC4"/>
    <w:rsid w:val="00AB644C"/>
    <w:rsid w:val="00AB786F"/>
    <w:rsid w:val="00AC4F60"/>
    <w:rsid w:val="00AC7C4D"/>
    <w:rsid w:val="00AD3890"/>
    <w:rsid w:val="00AD6CDB"/>
    <w:rsid w:val="00AD77AE"/>
    <w:rsid w:val="00AE6FDC"/>
    <w:rsid w:val="00AF2387"/>
    <w:rsid w:val="00AF5FEC"/>
    <w:rsid w:val="00AF7DA7"/>
    <w:rsid w:val="00B00F4E"/>
    <w:rsid w:val="00B0255D"/>
    <w:rsid w:val="00B02BAD"/>
    <w:rsid w:val="00B02E4C"/>
    <w:rsid w:val="00B0492F"/>
    <w:rsid w:val="00B10EA9"/>
    <w:rsid w:val="00B12080"/>
    <w:rsid w:val="00B16CB9"/>
    <w:rsid w:val="00B20568"/>
    <w:rsid w:val="00B24468"/>
    <w:rsid w:val="00B35B9E"/>
    <w:rsid w:val="00B36B42"/>
    <w:rsid w:val="00B37576"/>
    <w:rsid w:val="00B411AD"/>
    <w:rsid w:val="00B42858"/>
    <w:rsid w:val="00B4344A"/>
    <w:rsid w:val="00B43AFC"/>
    <w:rsid w:val="00B47F06"/>
    <w:rsid w:val="00B52C36"/>
    <w:rsid w:val="00B54F88"/>
    <w:rsid w:val="00B6111C"/>
    <w:rsid w:val="00B61E7C"/>
    <w:rsid w:val="00B7002E"/>
    <w:rsid w:val="00B70274"/>
    <w:rsid w:val="00B83E4C"/>
    <w:rsid w:val="00B9075D"/>
    <w:rsid w:val="00B9155E"/>
    <w:rsid w:val="00B941FC"/>
    <w:rsid w:val="00B95665"/>
    <w:rsid w:val="00B956D7"/>
    <w:rsid w:val="00B96571"/>
    <w:rsid w:val="00BA06CE"/>
    <w:rsid w:val="00BA7DF8"/>
    <w:rsid w:val="00BB1AF4"/>
    <w:rsid w:val="00BB2B4C"/>
    <w:rsid w:val="00BB3804"/>
    <w:rsid w:val="00BB3FEC"/>
    <w:rsid w:val="00BB5803"/>
    <w:rsid w:val="00BC02C1"/>
    <w:rsid w:val="00BC0B13"/>
    <w:rsid w:val="00BC4C62"/>
    <w:rsid w:val="00BD0726"/>
    <w:rsid w:val="00BE1BEB"/>
    <w:rsid w:val="00BF3EBF"/>
    <w:rsid w:val="00BF40C9"/>
    <w:rsid w:val="00BF6FD2"/>
    <w:rsid w:val="00C02F70"/>
    <w:rsid w:val="00C035BC"/>
    <w:rsid w:val="00C03B48"/>
    <w:rsid w:val="00C07A3F"/>
    <w:rsid w:val="00C10900"/>
    <w:rsid w:val="00C149C8"/>
    <w:rsid w:val="00C14CFD"/>
    <w:rsid w:val="00C21567"/>
    <w:rsid w:val="00C34F09"/>
    <w:rsid w:val="00C4077D"/>
    <w:rsid w:val="00C45D55"/>
    <w:rsid w:val="00C47AA6"/>
    <w:rsid w:val="00C501F5"/>
    <w:rsid w:val="00C53CB9"/>
    <w:rsid w:val="00C544D1"/>
    <w:rsid w:val="00C55306"/>
    <w:rsid w:val="00C55AD1"/>
    <w:rsid w:val="00C60218"/>
    <w:rsid w:val="00C64BB5"/>
    <w:rsid w:val="00C652FD"/>
    <w:rsid w:val="00C6790D"/>
    <w:rsid w:val="00C72EC3"/>
    <w:rsid w:val="00C7495E"/>
    <w:rsid w:val="00C8604B"/>
    <w:rsid w:val="00C86E87"/>
    <w:rsid w:val="00C90140"/>
    <w:rsid w:val="00C91D2C"/>
    <w:rsid w:val="00C95243"/>
    <w:rsid w:val="00CB1261"/>
    <w:rsid w:val="00CB26DA"/>
    <w:rsid w:val="00CB33FC"/>
    <w:rsid w:val="00CC31DD"/>
    <w:rsid w:val="00CC4E3D"/>
    <w:rsid w:val="00CC6082"/>
    <w:rsid w:val="00CD3D65"/>
    <w:rsid w:val="00CD7807"/>
    <w:rsid w:val="00CE2E4D"/>
    <w:rsid w:val="00CE3970"/>
    <w:rsid w:val="00CE40AC"/>
    <w:rsid w:val="00CE58FD"/>
    <w:rsid w:val="00CE7379"/>
    <w:rsid w:val="00CF1F35"/>
    <w:rsid w:val="00CF336B"/>
    <w:rsid w:val="00CF3A85"/>
    <w:rsid w:val="00D06C46"/>
    <w:rsid w:val="00D11CFD"/>
    <w:rsid w:val="00D11ECE"/>
    <w:rsid w:val="00D12F29"/>
    <w:rsid w:val="00D1724F"/>
    <w:rsid w:val="00D23D2D"/>
    <w:rsid w:val="00D372ED"/>
    <w:rsid w:val="00D37E29"/>
    <w:rsid w:val="00D41014"/>
    <w:rsid w:val="00D41417"/>
    <w:rsid w:val="00D429FA"/>
    <w:rsid w:val="00D45B2E"/>
    <w:rsid w:val="00D50ABA"/>
    <w:rsid w:val="00D548DD"/>
    <w:rsid w:val="00D550CC"/>
    <w:rsid w:val="00D55307"/>
    <w:rsid w:val="00D57A2C"/>
    <w:rsid w:val="00D60331"/>
    <w:rsid w:val="00D6249F"/>
    <w:rsid w:val="00D71D9C"/>
    <w:rsid w:val="00D7307F"/>
    <w:rsid w:val="00D760FC"/>
    <w:rsid w:val="00D80C43"/>
    <w:rsid w:val="00D8255B"/>
    <w:rsid w:val="00D83944"/>
    <w:rsid w:val="00D83A2B"/>
    <w:rsid w:val="00D83D2E"/>
    <w:rsid w:val="00D852B8"/>
    <w:rsid w:val="00D92019"/>
    <w:rsid w:val="00D920C1"/>
    <w:rsid w:val="00D92CC7"/>
    <w:rsid w:val="00D955AB"/>
    <w:rsid w:val="00D9638A"/>
    <w:rsid w:val="00D97FB9"/>
    <w:rsid w:val="00DA10DA"/>
    <w:rsid w:val="00DA43B1"/>
    <w:rsid w:val="00DB357D"/>
    <w:rsid w:val="00DB59FD"/>
    <w:rsid w:val="00DB71F0"/>
    <w:rsid w:val="00DC78A4"/>
    <w:rsid w:val="00DD0E88"/>
    <w:rsid w:val="00DD1906"/>
    <w:rsid w:val="00DE1762"/>
    <w:rsid w:val="00DE1B8D"/>
    <w:rsid w:val="00DE2638"/>
    <w:rsid w:val="00DF09C9"/>
    <w:rsid w:val="00DF1E7A"/>
    <w:rsid w:val="00DF3F77"/>
    <w:rsid w:val="00DF7376"/>
    <w:rsid w:val="00E01228"/>
    <w:rsid w:val="00E0168B"/>
    <w:rsid w:val="00E0308C"/>
    <w:rsid w:val="00E04F75"/>
    <w:rsid w:val="00E07E3B"/>
    <w:rsid w:val="00E100F6"/>
    <w:rsid w:val="00E110BB"/>
    <w:rsid w:val="00E148B2"/>
    <w:rsid w:val="00E17943"/>
    <w:rsid w:val="00E17EB2"/>
    <w:rsid w:val="00E22667"/>
    <w:rsid w:val="00E2394A"/>
    <w:rsid w:val="00E26C11"/>
    <w:rsid w:val="00E31CF4"/>
    <w:rsid w:val="00E336DA"/>
    <w:rsid w:val="00E33AF9"/>
    <w:rsid w:val="00E353CE"/>
    <w:rsid w:val="00E3605F"/>
    <w:rsid w:val="00E42291"/>
    <w:rsid w:val="00E5002A"/>
    <w:rsid w:val="00E525DF"/>
    <w:rsid w:val="00E54BCC"/>
    <w:rsid w:val="00E559B5"/>
    <w:rsid w:val="00E56D74"/>
    <w:rsid w:val="00E6045F"/>
    <w:rsid w:val="00E6092E"/>
    <w:rsid w:val="00E72C0B"/>
    <w:rsid w:val="00E73597"/>
    <w:rsid w:val="00E753C7"/>
    <w:rsid w:val="00E7685E"/>
    <w:rsid w:val="00E84041"/>
    <w:rsid w:val="00E852F7"/>
    <w:rsid w:val="00E90811"/>
    <w:rsid w:val="00E964B9"/>
    <w:rsid w:val="00EA0254"/>
    <w:rsid w:val="00EB146A"/>
    <w:rsid w:val="00EB46FF"/>
    <w:rsid w:val="00EC14EE"/>
    <w:rsid w:val="00EC21BD"/>
    <w:rsid w:val="00ED0273"/>
    <w:rsid w:val="00ED178A"/>
    <w:rsid w:val="00ED2D04"/>
    <w:rsid w:val="00ED2F65"/>
    <w:rsid w:val="00ED34E1"/>
    <w:rsid w:val="00ED374E"/>
    <w:rsid w:val="00EE162A"/>
    <w:rsid w:val="00EE37EB"/>
    <w:rsid w:val="00EE5893"/>
    <w:rsid w:val="00F01856"/>
    <w:rsid w:val="00F02CA6"/>
    <w:rsid w:val="00F061C8"/>
    <w:rsid w:val="00F133DE"/>
    <w:rsid w:val="00F13572"/>
    <w:rsid w:val="00F14702"/>
    <w:rsid w:val="00F14A9F"/>
    <w:rsid w:val="00F21C27"/>
    <w:rsid w:val="00F22B8F"/>
    <w:rsid w:val="00F23CC5"/>
    <w:rsid w:val="00F243BD"/>
    <w:rsid w:val="00F278B9"/>
    <w:rsid w:val="00F3261B"/>
    <w:rsid w:val="00F349B3"/>
    <w:rsid w:val="00F36238"/>
    <w:rsid w:val="00F41290"/>
    <w:rsid w:val="00F56691"/>
    <w:rsid w:val="00F6746A"/>
    <w:rsid w:val="00F70BA3"/>
    <w:rsid w:val="00F75098"/>
    <w:rsid w:val="00F76EC5"/>
    <w:rsid w:val="00F77F11"/>
    <w:rsid w:val="00F83CA7"/>
    <w:rsid w:val="00F84220"/>
    <w:rsid w:val="00F904BF"/>
    <w:rsid w:val="00F92513"/>
    <w:rsid w:val="00F92CBE"/>
    <w:rsid w:val="00F947A7"/>
    <w:rsid w:val="00F956DD"/>
    <w:rsid w:val="00F9585A"/>
    <w:rsid w:val="00F960FA"/>
    <w:rsid w:val="00F96524"/>
    <w:rsid w:val="00FA40C4"/>
    <w:rsid w:val="00FA4E76"/>
    <w:rsid w:val="00FB054C"/>
    <w:rsid w:val="00FB211D"/>
    <w:rsid w:val="00FB2D78"/>
    <w:rsid w:val="00FB3789"/>
    <w:rsid w:val="00FC4849"/>
    <w:rsid w:val="00FC5A8F"/>
    <w:rsid w:val="00FC5FF1"/>
    <w:rsid w:val="00FC76CE"/>
    <w:rsid w:val="00FC775A"/>
    <w:rsid w:val="00FD38FB"/>
    <w:rsid w:val="00FD44B0"/>
    <w:rsid w:val="00FD4DEF"/>
    <w:rsid w:val="00FE29FD"/>
    <w:rsid w:val="00FE4832"/>
    <w:rsid w:val="00FF20AD"/>
    <w:rsid w:val="00FF6099"/>
    <w:rsid w:val="3D222D59"/>
    <w:rsid w:val="614C0841"/>
    <w:rsid w:val="750F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10" w:after="10" w:line="360" w:lineRule="auto"/>
      <w:ind w:left="432"/>
      <w:outlineLvl w:val="0"/>
    </w:pPr>
    <w:rPr>
      <w:rFonts w:ascii="Calibri" w:hAnsi="Calibri" w:eastAsia="仿宋" w:cs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1"/>
    <w:link w:val="25"/>
    <w:unhideWhenUsed/>
    <w:qFormat/>
    <w:uiPriority w:val="99"/>
    <w:rPr>
      <w:rFonts w:ascii="Calibri" w:hAnsi="Calibri" w:eastAsia="宋体" w:cs="Times New Roman"/>
      <w:szCs w:val="24"/>
    </w:r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9"/>
    <w:rPr>
      <w:rFonts w:ascii="Calibri" w:hAnsi="Calibri" w:eastAsia="仿宋" w:cs="黑体"/>
      <w:b/>
      <w:bCs/>
      <w:kern w:val="44"/>
      <w:sz w:val="30"/>
      <w:szCs w:val="44"/>
    </w:rPr>
  </w:style>
  <w:style w:type="character" w:customStyle="1" w:styleId="15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7"/>
    <w:qFormat/>
    <w:uiPriority w:val="99"/>
    <w:rPr>
      <w:sz w:val="18"/>
      <w:szCs w:val="18"/>
    </w:rPr>
  </w:style>
  <w:style w:type="paragraph" w:customStyle="1" w:styleId="18">
    <w:name w:val="列表段落1"/>
    <w:basedOn w:val="1"/>
    <w:link w:val="19"/>
    <w:qFormat/>
    <w:uiPriority w:val="34"/>
    <w:pPr>
      <w:ind w:firstLine="420" w:firstLineChars="200"/>
    </w:pPr>
    <w:rPr>
      <w:rFonts w:ascii="Times New Roman" w:hAnsi="Times New Roman" w:eastAsia="仿宋" w:cs="Times New Roman"/>
      <w:kern w:val="0"/>
      <w:sz w:val="32"/>
      <w:szCs w:val="20"/>
    </w:rPr>
  </w:style>
  <w:style w:type="character" w:customStyle="1" w:styleId="19">
    <w:name w:val="列表段落 字符"/>
    <w:link w:val="18"/>
    <w:qFormat/>
    <w:uiPriority w:val="34"/>
    <w:rPr>
      <w:rFonts w:ascii="Times New Roman" w:hAnsi="Times New Roman" w:eastAsia="仿宋" w:cs="Times New Roman"/>
      <w:kern w:val="0"/>
      <w:sz w:val="32"/>
      <w:szCs w:val="20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ind w:left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1"/>
    <w:link w:val="6"/>
    <w:semiHidden/>
    <w:uiPriority w:val="99"/>
    <w:rPr>
      <w:sz w:val="18"/>
      <w:szCs w:val="18"/>
    </w:rPr>
  </w:style>
  <w:style w:type="paragraph" w:customStyle="1" w:styleId="2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23">
    <w:name w:val="NormalCharacter"/>
    <w:qFormat/>
    <w:uiPriority w:val="0"/>
  </w:style>
  <w:style w:type="character" w:customStyle="1" w:styleId="24">
    <w:name w:val="标题 3 字符"/>
    <w:basedOn w:val="11"/>
    <w:link w:val="4"/>
    <w:semiHidden/>
    <w:qFormat/>
    <w:uiPriority w:val="9"/>
    <w:rPr>
      <w:b/>
      <w:bCs/>
      <w:sz w:val="32"/>
      <w:szCs w:val="32"/>
    </w:rPr>
  </w:style>
  <w:style w:type="character" w:customStyle="1" w:styleId="25">
    <w:name w:val="正文文本 字符"/>
    <w:basedOn w:val="11"/>
    <w:link w:val="5"/>
    <w:qFormat/>
    <w:uiPriority w:val="99"/>
    <w:rPr>
      <w:rFonts w:ascii="Calibri" w:hAnsi="Calibri" w:eastAsia="宋体" w:cs="Times New Roman"/>
      <w:szCs w:val="24"/>
    </w:rPr>
  </w:style>
  <w:style w:type="paragraph" w:customStyle="1" w:styleId="26">
    <w:name w:val="Char Char Char1 Char"/>
    <w:basedOn w:val="2"/>
    <w:qFormat/>
    <w:uiPriority w:val="0"/>
    <w:pPr>
      <w:snapToGrid w:val="0"/>
      <w:spacing w:before="240" w:after="240" w:line="348" w:lineRule="auto"/>
      <w:ind w:left="0"/>
    </w:pPr>
    <w:rPr>
      <w:rFonts w:eastAsia="宋体" w:cs="Times New Roman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9D0291-FD41-4C47-B205-07CBE418F3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276</Words>
  <Characters>1577</Characters>
  <Lines>13</Lines>
  <Paragraphs>3</Paragraphs>
  <TotalTime>4</TotalTime>
  <ScaleCrop>false</ScaleCrop>
  <LinksUpToDate>false</LinksUpToDate>
  <CharactersWithSpaces>1850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2021-03-30T09:14:00Z</dcterms:created>
  <dc:creator>微软用户</dc:creator>
  <cp:lastModifiedBy>西和</cp:lastModifiedBy>
  <dcterms:modified xsi:type="dcterms:W3CDTF">2021-04-30T06:24:58Z</dcterms:modified>
  <cp:revision>2948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