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仿宋_GB2312" w:hAnsi="仿宋_GB2312" w:eastAsia="仿宋_GB2312" w:cs="仿宋_GB2312"/>
          <w:kern w:val="44"/>
          <w:sz w:val="32"/>
          <w:szCs w:val="32"/>
          <w:lang w:val="en-US" w:eastAsia="zh-CN"/>
        </w:rPr>
      </w:pPr>
      <w:r>
        <w:rPr>
          <w:rFonts w:hint="eastAsia" w:ascii="仿宋_GB2312" w:hAnsi="仿宋_GB2312" w:eastAsia="仿宋_GB2312" w:cs="仿宋_GB2312"/>
          <w:kern w:val="44"/>
          <w:sz w:val="32"/>
          <w:szCs w:val="32"/>
          <w:lang w:val="en-US" w:eastAsia="zh-CN"/>
        </w:rPr>
        <w:t>附件1</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kern w:val="44"/>
          <w:sz w:val="44"/>
          <w:szCs w:val="44"/>
          <w:lang w:val="en-US" w:eastAsia="zh-CN"/>
        </w:rPr>
      </w:pPr>
      <w:r>
        <w:rPr>
          <w:rFonts w:hint="eastAsia" w:ascii="方正小标宋简体" w:hAnsi="方正小标宋简体" w:eastAsia="方正小标宋简体" w:cs="方正小标宋简体"/>
          <w:kern w:val="44"/>
          <w:sz w:val="44"/>
          <w:szCs w:val="44"/>
        </w:rPr>
        <w:t>新建区九望新城首开区土地征收成片开发方案（</w:t>
      </w:r>
      <w:r>
        <w:rPr>
          <w:rFonts w:hint="eastAsia" w:ascii="方正小标宋简体" w:hAnsi="方正小标宋简体" w:eastAsia="方正小标宋简体" w:cs="方正小标宋简体"/>
          <w:kern w:val="44"/>
          <w:sz w:val="44"/>
          <w:szCs w:val="44"/>
          <w:lang w:val="en-US" w:eastAsia="zh-CN"/>
        </w:rPr>
        <w:t>征求意见稿</w:t>
      </w:r>
      <w:r>
        <w:rPr>
          <w:rFonts w:hint="eastAsia" w:ascii="方正小标宋简体" w:hAnsi="方正小标宋简体" w:eastAsia="方正小标宋简体" w:cs="方正小标宋简体"/>
          <w:kern w:val="44"/>
          <w:sz w:val="44"/>
          <w:szCs w:val="44"/>
        </w:rPr>
        <w:t>）</w:t>
      </w:r>
      <w:r>
        <w:rPr>
          <w:rFonts w:hint="eastAsia" w:ascii="方正小标宋简体" w:hAnsi="方正小标宋简体" w:eastAsia="方正小标宋简体" w:cs="方正小标宋简体"/>
          <w:kern w:val="44"/>
          <w:sz w:val="44"/>
          <w:szCs w:val="44"/>
          <w:lang w:val="en-US" w:eastAsia="zh-CN"/>
        </w:rPr>
        <w:t>主要内容</w:t>
      </w:r>
    </w:p>
    <w:p>
      <w:pPr>
        <w:pStyle w:val="2"/>
        <w:spacing w:line="240" w:lineRule="auto"/>
        <w:ind w:left="0" w:firstLine="640" w:firstLineChars="200"/>
        <w:rPr>
          <w:rFonts w:hint="eastAsia" w:ascii="黑体" w:hAnsi="黑体" w:eastAsia="黑体"/>
          <w:b w:val="0"/>
          <w:bCs w:val="0"/>
          <w:sz w:val="32"/>
          <w:szCs w:val="32"/>
        </w:rPr>
      </w:pPr>
    </w:p>
    <w:p>
      <w:pPr>
        <w:pStyle w:val="2"/>
        <w:spacing w:line="240" w:lineRule="auto"/>
        <w:ind w:left="0" w:firstLine="640" w:firstLineChars="200"/>
        <w:rPr>
          <w:rFonts w:ascii="黑体" w:hAnsi="黑体" w:eastAsia="黑体"/>
          <w:b w:val="0"/>
          <w:bCs w:val="0"/>
          <w:sz w:val="32"/>
          <w:szCs w:val="32"/>
        </w:rPr>
      </w:pPr>
      <w:r>
        <w:rPr>
          <w:rFonts w:hint="eastAsia" w:ascii="黑体" w:hAnsi="黑体" w:eastAsia="黑体"/>
          <w:b w:val="0"/>
          <w:bCs w:val="0"/>
          <w:sz w:val="32"/>
          <w:szCs w:val="32"/>
        </w:rPr>
        <w:t>一、编制依据</w:t>
      </w:r>
      <w:bookmarkStart w:id="9" w:name="_GoBack"/>
      <w:bookmarkEnd w:id="9"/>
    </w:p>
    <w:p>
      <w:pPr>
        <w:autoSpaceDE w:val="0"/>
        <w:autoSpaceDN w:val="0"/>
        <w:adjustRightInd w:val="0"/>
        <w:ind w:firstLine="560" w:firstLineChars="200"/>
        <w:rPr>
          <w:rFonts w:ascii="仿宋_GB2312" w:eastAsia="仿宋_GB2312" w:cs="仿宋_GB2312"/>
          <w:kern w:val="0"/>
          <w:sz w:val="28"/>
          <w:szCs w:val="28"/>
        </w:rPr>
      </w:pPr>
      <w:r>
        <w:rPr>
          <w:rFonts w:hint="eastAsia" w:ascii="仿宋_GB2312" w:eastAsia="仿宋_GB2312" w:cs="仿宋_GB2312"/>
          <w:kern w:val="0"/>
          <w:sz w:val="28"/>
          <w:szCs w:val="28"/>
        </w:rPr>
        <w:t>根据</w:t>
      </w:r>
      <w:r>
        <w:rPr>
          <w:rFonts w:hint="eastAsia" w:ascii="仿宋_GB2312" w:hAnsi="Times New Roman" w:eastAsia="仿宋_GB2312" w:cs="Times New Roman"/>
          <w:sz w:val="28"/>
          <w:szCs w:val="28"/>
        </w:rPr>
        <w:t>《自然资源部关于印发&lt;土地征收成片开发标准（试行）&gt;的通知》（自然资规〔2020〕5号）、</w:t>
      </w:r>
      <w:r>
        <w:rPr>
          <w:rFonts w:hint="eastAsia" w:ascii="仿宋_GB2312" w:eastAsia="仿宋_GB2312" w:cs="仿宋_GB2312"/>
          <w:kern w:val="0"/>
          <w:sz w:val="28"/>
          <w:szCs w:val="28"/>
        </w:rPr>
        <w:t>《江西省人民政府办公厅关于执行土地征收成片开发标准</w:t>
      </w:r>
      <w:r>
        <w:rPr>
          <w:rFonts w:ascii="仿宋_GB2312" w:eastAsia="仿宋_GB2312" w:cs="仿宋_GB2312"/>
          <w:kern w:val="0"/>
          <w:sz w:val="28"/>
          <w:szCs w:val="28"/>
        </w:rPr>
        <w:t>(试行)的指导意见</w:t>
      </w:r>
      <w:r>
        <w:rPr>
          <w:rFonts w:hint="eastAsia" w:ascii="仿宋_GB2312" w:eastAsia="仿宋_GB2312" w:cs="仿宋_GB2312"/>
          <w:kern w:val="0"/>
          <w:sz w:val="28"/>
          <w:szCs w:val="28"/>
        </w:rPr>
        <w:t>》（赣府厅发〔</w:t>
      </w:r>
      <w:r>
        <w:rPr>
          <w:rFonts w:ascii="仿宋_GB2312" w:eastAsia="仿宋_GB2312" w:cs="仿宋_GB2312"/>
          <w:kern w:val="0"/>
          <w:sz w:val="28"/>
          <w:szCs w:val="28"/>
        </w:rPr>
        <w:t>2021〕2号）</w:t>
      </w:r>
      <w:r>
        <w:rPr>
          <w:rFonts w:hint="eastAsia" w:ascii="仿宋_GB2312" w:eastAsia="仿宋_GB2312" w:cs="仿宋_GB2312"/>
          <w:kern w:val="0"/>
          <w:sz w:val="28"/>
          <w:szCs w:val="28"/>
        </w:rPr>
        <w:t>、</w:t>
      </w:r>
      <w:r>
        <w:rPr>
          <w:rFonts w:hint="eastAsia" w:ascii="仿宋_GB2312" w:hAnsi="仿宋_GB2312" w:eastAsia="仿宋_GB2312" w:cs="仿宋_GB2312"/>
          <w:sz w:val="28"/>
          <w:szCs w:val="28"/>
        </w:rPr>
        <w:t>《江西省自然资源厅办公室关于认真贯彻执行新&lt;土地管理法</w:t>
      </w:r>
      <w:r>
        <w:rPr>
          <w:rFonts w:hint="eastAsia" w:ascii="仿宋_GB2312" w:hAnsi="Times New Roman" w:eastAsia="仿宋_GB2312" w:cs="Times New Roman"/>
          <w:sz w:val="28"/>
          <w:szCs w:val="28"/>
        </w:rPr>
        <w:t>&gt;</w:t>
      </w:r>
      <w:r>
        <w:rPr>
          <w:rFonts w:hint="eastAsia" w:ascii="仿宋_GB2312" w:hAnsi="仿宋_GB2312" w:eastAsia="仿宋_GB2312" w:cs="仿宋_GB2312"/>
          <w:sz w:val="28"/>
          <w:szCs w:val="28"/>
        </w:rPr>
        <w:t>切实做好土地征收工作</w:t>
      </w:r>
      <w:r>
        <w:rPr>
          <w:rFonts w:hint="eastAsia" w:ascii="仿宋_GB2312" w:hAnsi="Times New Roman" w:eastAsia="仿宋_GB2312" w:cs="Times New Roman"/>
          <w:sz w:val="28"/>
          <w:szCs w:val="28"/>
        </w:rPr>
        <w:t>的通知》</w:t>
      </w:r>
      <w:r>
        <w:rPr>
          <w:rFonts w:ascii="仿宋_GB2312" w:hAnsi="Times New Roman" w:eastAsia="仿宋_GB2312" w:cs="Times New Roman"/>
          <w:sz w:val="28"/>
          <w:szCs w:val="28"/>
        </w:rPr>
        <w:t>（赣自然资</w:t>
      </w:r>
      <w:r>
        <w:rPr>
          <w:rFonts w:hint="eastAsia" w:ascii="仿宋_GB2312" w:hAnsi="Times New Roman" w:eastAsia="仿宋_GB2312" w:cs="Times New Roman"/>
          <w:sz w:val="28"/>
          <w:szCs w:val="28"/>
        </w:rPr>
        <w:t>办</w:t>
      </w:r>
      <w:r>
        <w:rPr>
          <w:rFonts w:ascii="仿宋_GB2312" w:hAnsi="Times New Roman" w:eastAsia="仿宋_GB2312" w:cs="Times New Roman"/>
          <w:sz w:val="28"/>
          <w:szCs w:val="28"/>
        </w:rPr>
        <w:t>发〔2020〕20号）</w:t>
      </w:r>
      <w:r>
        <w:rPr>
          <w:rFonts w:hint="eastAsia" w:ascii="仿宋_GB2312" w:hAnsi="Times New Roman" w:eastAsia="仿宋_GB2312" w:cs="Times New Roman"/>
          <w:sz w:val="28"/>
          <w:szCs w:val="28"/>
        </w:rPr>
        <w:t>、新建区国民经济和社会发展规划、年度计划、《新建区土地利用总体规划延续完善方案》、《新建区城市总体规划（</w:t>
      </w:r>
      <w:r>
        <w:rPr>
          <w:rFonts w:ascii="仿宋_GB2312" w:hAnsi="Times New Roman" w:eastAsia="仿宋_GB2312" w:cs="Times New Roman"/>
          <w:sz w:val="28"/>
          <w:szCs w:val="28"/>
        </w:rPr>
        <w:t>2011-2030）》</w:t>
      </w:r>
      <w:r>
        <w:rPr>
          <w:rFonts w:hint="eastAsia" w:ascii="仿宋_GB2312" w:hAnsi="Times New Roman" w:eastAsia="仿宋_GB2312" w:cs="Times New Roman"/>
          <w:sz w:val="28"/>
          <w:szCs w:val="28"/>
        </w:rPr>
        <w:t>等，编制</w:t>
      </w:r>
      <w:r>
        <w:rPr>
          <w:rFonts w:hint="eastAsia" w:ascii="仿宋_GB2312" w:eastAsia="仿宋_GB2312" w:cs="仿宋_GB2312"/>
          <w:kern w:val="0"/>
          <w:sz w:val="28"/>
          <w:szCs w:val="28"/>
        </w:rPr>
        <w:t>《新建区</w:t>
      </w:r>
      <w:r>
        <w:rPr>
          <w:rFonts w:hint="eastAsia" w:ascii="仿宋_GB2312" w:eastAsia="仿宋_GB2312" w:cs="仿宋_GB2312"/>
          <w:kern w:val="0"/>
          <w:sz w:val="28"/>
          <w:szCs w:val="28"/>
          <w:lang w:eastAsia="zh-CN"/>
        </w:rPr>
        <w:t>九望新城首开区</w:t>
      </w:r>
      <w:r>
        <w:rPr>
          <w:rFonts w:hint="eastAsia" w:ascii="仿宋_GB2312" w:eastAsia="仿宋_GB2312" w:cs="仿宋_GB2312"/>
          <w:kern w:val="0"/>
          <w:sz w:val="28"/>
          <w:szCs w:val="28"/>
        </w:rPr>
        <w:t>土地征收成片开发方案（</w:t>
      </w:r>
      <w:r>
        <w:rPr>
          <w:rFonts w:ascii="仿宋_GB2312" w:eastAsia="仿宋_GB2312" w:cs="仿宋_GB2312"/>
          <w:kern w:val="0"/>
          <w:sz w:val="28"/>
          <w:szCs w:val="28"/>
        </w:rPr>
        <w:t>2021-2022年）</w:t>
      </w:r>
      <w:r>
        <w:rPr>
          <w:rFonts w:hint="eastAsia" w:ascii="仿宋_GB2312" w:eastAsia="仿宋_GB2312" w:cs="仿宋_GB2312"/>
          <w:kern w:val="0"/>
          <w:sz w:val="28"/>
          <w:szCs w:val="28"/>
        </w:rPr>
        <w:t>》。</w:t>
      </w:r>
    </w:p>
    <w:p>
      <w:pPr>
        <w:pStyle w:val="2"/>
        <w:spacing w:line="240" w:lineRule="auto"/>
        <w:ind w:left="0" w:firstLine="640" w:firstLineChars="200"/>
        <w:rPr>
          <w:rFonts w:ascii="黑体" w:hAnsi="黑体" w:eastAsia="黑体"/>
          <w:b w:val="0"/>
          <w:bCs w:val="0"/>
          <w:sz w:val="32"/>
          <w:szCs w:val="32"/>
        </w:rPr>
      </w:pPr>
      <w:bookmarkStart w:id="0" w:name="_Toc69736442"/>
      <w:r>
        <w:rPr>
          <w:rFonts w:hint="eastAsia" w:ascii="黑体" w:hAnsi="黑体" w:eastAsia="黑体"/>
          <w:b w:val="0"/>
          <w:bCs w:val="0"/>
          <w:sz w:val="32"/>
          <w:szCs w:val="32"/>
        </w:rPr>
        <w:t>二、基本情况</w:t>
      </w:r>
      <w:bookmarkEnd w:id="0"/>
    </w:p>
    <w:p>
      <w:pPr>
        <w:spacing w:line="360" w:lineRule="auto"/>
        <w:ind w:firstLine="560" w:firstLineChars="200"/>
        <w:rPr>
          <w:rFonts w:ascii="仿宋_GB2312" w:hAnsi="Times New Roman" w:eastAsia="仿宋_GB2312" w:cs="Times New Roman"/>
          <w:sz w:val="28"/>
          <w:szCs w:val="28"/>
        </w:rPr>
      </w:pPr>
      <w:r>
        <w:rPr>
          <w:rFonts w:hint="eastAsia" w:ascii="仿宋_GB2312" w:hAnsi="Times New Roman" w:eastAsia="仿宋_GB2312" w:cs="Times New Roman"/>
          <w:sz w:val="28"/>
          <w:szCs w:val="28"/>
        </w:rPr>
        <w:t>本成片开发方案编制范围位于新建区九望新城，武功山大道以南，宜春大街以北，西一环高速以西，石埠大道以东，总面积</w:t>
      </w:r>
      <w:r>
        <w:rPr>
          <w:rFonts w:ascii="仿宋_GB2312" w:hAnsi="Times New Roman" w:eastAsia="仿宋_GB2312" w:cs="Times New Roman"/>
          <w:sz w:val="28"/>
          <w:szCs w:val="28"/>
        </w:rPr>
        <w:t>106公顷</w:t>
      </w:r>
      <w:r>
        <w:rPr>
          <w:rFonts w:hint="eastAsia" w:ascii="仿宋_GB2312" w:hAnsi="Times New Roman" w:eastAsia="仿宋_GB2312" w:cs="Times New Roman"/>
          <w:sz w:val="28"/>
          <w:szCs w:val="28"/>
        </w:rPr>
        <w:t>。其中农用地</w:t>
      </w:r>
      <w:r>
        <w:rPr>
          <w:rFonts w:ascii="仿宋_GB2312" w:hAnsi="Times New Roman" w:eastAsia="仿宋_GB2312" w:cs="Times New Roman"/>
          <w:sz w:val="28"/>
          <w:szCs w:val="28"/>
        </w:rPr>
        <w:t>94.51</w:t>
      </w:r>
      <w:r>
        <w:rPr>
          <w:rFonts w:hint="eastAsia" w:ascii="仿宋_GB2312" w:hAnsi="Times New Roman" w:eastAsia="仿宋_GB2312" w:cs="Times New Roman"/>
          <w:sz w:val="28"/>
          <w:szCs w:val="28"/>
        </w:rPr>
        <w:t>公顷（</w:t>
      </w:r>
      <w:r>
        <w:rPr>
          <w:rFonts w:hint="eastAsia" w:ascii="仿宋_GB2312" w:eastAsia="仿宋_GB2312"/>
          <w:sz w:val="28"/>
          <w:szCs w:val="28"/>
        </w:rPr>
        <w:t>占用耕地面积为</w:t>
      </w:r>
      <w:r>
        <w:rPr>
          <w:rFonts w:ascii="仿宋_GB2312" w:hAnsi="Times New Roman" w:eastAsia="仿宋_GB2312" w:cs="Times New Roman"/>
          <w:sz w:val="28"/>
          <w:szCs w:val="28"/>
        </w:rPr>
        <w:t>82.77</w:t>
      </w:r>
      <w:r>
        <w:rPr>
          <w:rFonts w:hint="eastAsia" w:ascii="仿宋_GB2312" w:hAnsi="Times New Roman" w:eastAsia="仿宋_GB2312" w:cs="Times New Roman"/>
          <w:sz w:val="28"/>
          <w:szCs w:val="28"/>
        </w:rPr>
        <w:t>公顷，其中水田</w:t>
      </w:r>
      <w:r>
        <w:rPr>
          <w:rFonts w:ascii="仿宋_GB2312" w:hAnsi="Times New Roman" w:eastAsia="仿宋_GB2312" w:cs="Times New Roman"/>
          <w:sz w:val="28"/>
          <w:szCs w:val="28"/>
        </w:rPr>
        <w:t>42.36</w:t>
      </w:r>
      <w:r>
        <w:rPr>
          <w:rFonts w:hint="eastAsia" w:ascii="仿宋_GB2312" w:hAnsi="Times New Roman" w:eastAsia="仿宋_GB2312" w:cs="Times New Roman"/>
          <w:sz w:val="28"/>
          <w:szCs w:val="28"/>
        </w:rPr>
        <w:t>公顷）、建设用地</w:t>
      </w:r>
      <w:r>
        <w:rPr>
          <w:rFonts w:ascii="仿宋_GB2312" w:hAnsi="Times New Roman" w:eastAsia="仿宋_GB2312" w:cs="Times New Roman"/>
          <w:sz w:val="28"/>
          <w:szCs w:val="28"/>
        </w:rPr>
        <w:t>11.49</w:t>
      </w:r>
      <w:r>
        <w:rPr>
          <w:rFonts w:hint="eastAsia" w:ascii="仿宋_GB2312" w:hAnsi="Times New Roman" w:eastAsia="仿宋_GB2312" w:cs="Times New Roman"/>
          <w:sz w:val="28"/>
          <w:szCs w:val="28"/>
        </w:rPr>
        <w:t>公顷。涉及石埠镇</w:t>
      </w:r>
      <w:r>
        <w:rPr>
          <w:rFonts w:hint="eastAsia" w:ascii="仿宋_GB2312" w:hAnsi="仿宋_GB2312" w:eastAsia="仿宋_GB2312" w:cs="仿宋_GB2312"/>
          <w:sz w:val="28"/>
          <w:szCs w:val="28"/>
        </w:rPr>
        <w:t>岗背村、鲁田村、筛岗村、石埠村、洋湖村</w:t>
      </w:r>
      <w:r>
        <w:rPr>
          <w:rFonts w:ascii="仿宋_GB2312" w:hAnsi="仿宋_GB2312" w:eastAsia="仿宋_GB2312" w:cs="仿宋_GB2312"/>
          <w:sz w:val="28"/>
          <w:szCs w:val="28"/>
        </w:rPr>
        <w:t>5</w:t>
      </w:r>
      <w:r>
        <w:rPr>
          <w:rFonts w:hint="eastAsia" w:ascii="仿宋_GB2312" w:hAnsi="仿宋_GB2312" w:eastAsia="仿宋_GB2312" w:cs="仿宋_GB2312"/>
          <w:sz w:val="28"/>
          <w:szCs w:val="28"/>
        </w:rPr>
        <w:t>个村。</w:t>
      </w:r>
    </w:p>
    <w:p>
      <w:pPr>
        <w:pStyle w:val="2"/>
        <w:spacing w:line="240" w:lineRule="auto"/>
        <w:ind w:left="0" w:firstLine="640" w:firstLineChars="200"/>
        <w:rPr>
          <w:rFonts w:ascii="黑体" w:hAnsi="黑体" w:eastAsia="黑体"/>
          <w:b w:val="0"/>
          <w:bCs w:val="0"/>
          <w:sz w:val="32"/>
          <w:szCs w:val="32"/>
        </w:rPr>
      </w:pPr>
      <w:bookmarkStart w:id="1" w:name="_Toc69736450"/>
      <w:r>
        <w:rPr>
          <w:rFonts w:hint="eastAsia" w:ascii="黑体" w:hAnsi="黑体" w:eastAsia="黑体"/>
          <w:b w:val="0"/>
          <w:bCs w:val="0"/>
          <w:sz w:val="32"/>
          <w:szCs w:val="32"/>
        </w:rPr>
        <w:t>三、必要性</w:t>
      </w:r>
      <w:bookmarkEnd w:id="1"/>
    </w:p>
    <w:p>
      <w:pPr>
        <w:spacing w:line="360" w:lineRule="auto"/>
        <w:ind w:firstLine="640"/>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lang w:eastAsia="zh-CN"/>
        </w:rPr>
        <w:t>九望新城首开区</w:t>
      </w:r>
      <w:r>
        <w:rPr>
          <w:rFonts w:hint="eastAsia" w:ascii="仿宋_GB2312" w:hAnsi="仿宋_GB2312" w:eastAsia="仿宋_GB2312" w:cs="仿宋_GB2312"/>
          <w:kern w:val="0"/>
          <w:sz w:val="28"/>
          <w:szCs w:val="28"/>
        </w:rPr>
        <w:t>将依托南昌城西门户窗口、交通区位、生态环境等优势，打造集产业、居住、服务于一体的产城融合示范区。科学编制土地征收成片开发方案，有利于将</w:t>
      </w:r>
      <w:r>
        <w:rPr>
          <w:rFonts w:hint="eastAsia" w:ascii="仿宋_GB2312" w:hAnsi="仿宋_GB2312" w:eastAsia="仿宋_GB2312" w:cs="仿宋_GB2312"/>
          <w:kern w:val="0"/>
          <w:sz w:val="28"/>
          <w:szCs w:val="28"/>
          <w:lang w:eastAsia="zh-CN"/>
        </w:rPr>
        <w:t>九望新城首开区</w:t>
      </w:r>
      <w:r>
        <w:rPr>
          <w:rFonts w:hint="eastAsia" w:ascii="仿宋_GB2312" w:hAnsi="仿宋_GB2312" w:eastAsia="仿宋_GB2312" w:cs="仿宋_GB2312"/>
          <w:kern w:val="0"/>
          <w:sz w:val="28"/>
          <w:szCs w:val="28"/>
        </w:rPr>
        <w:t>建成和谐秀美、设施配套完善的宜居城镇；</w:t>
      </w:r>
      <w:r>
        <w:rPr>
          <w:rFonts w:ascii="仿宋_GB2312" w:hAnsi="仿宋_GB2312" w:eastAsia="仿宋_GB2312" w:cs="仿宋_GB2312"/>
          <w:kern w:val="0"/>
          <w:sz w:val="28"/>
          <w:szCs w:val="28"/>
        </w:rPr>
        <w:t>有利于优化城乡生态和人居环境，提升城乡发展品质提升和城乡融合发展水平。</w:t>
      </w:r>
      <w:r>
        <w:rPr>
          <w:rFonts w:hint="eastAsia" w:ascii="仿宋_GB2312" w:hAnsi="仿宋_GB2312" w:eastAsia="仿宋_GB2312" w:cs="仿宋_GB2312"/>
          <w:kern w:val="0"/>
          <w:sz w:val="28"/>
          <w:szCs w:val="28"/>
        </w:rPr>
        <w:t>以家居产业为主体功能，配套商住共同构建家居健康运动生活港，构建九望新城新商圈，打造城市商业新地标，吸纳人口、资源等，提升区域资源聚集度，为科创</w:t>
      </w:r>
      <w:r>
        <w:rPr>
          <w:rFonts w:ascii="仿宋_GB2312" w:hAnsi="仿宋_GB2312" w:eastAsia="仿宋_GB2312" w:cs="仿宋_GB2312"/>
          <w:kern w:val="0"/>
          <w:sz w:val="28"/>
          <w:szCs w:val="28"/>
        </w:rPr>
        <w:t>+”产业</w:t>
      </w:r>
      <w:r>
        <w:rPr>
          <w:rFonts w:hint="eastAsia" w:ascii="仿宋_GB2312" w:hAnsi="仿宋_GB2312" w:eastAsia="仿宋_GB2312" w:cs="仿宋_GB2312"/>
          <w:kern w:val="0"/>
          <w:sz w:val="28"/>
          <w:szCs w:val="28"/>
        </w:rPr>
        <w:t>体系发展打下基础。</w:t>
      </w:r>
    </w:p>
    <w:p>
      <w:pPr>
        <w:pStyle w:val="2"/>
        <w:spacing w:line="240" w:lineRule="auto"/>
        <w:ind w:left="0" w:firstLine="640" w:firstLineChars="200"/>
        <w:rPr>
          <w:rFonts w:ascii="黑体" w:hAnsi="黑体" w:eastAsia="黑体"/>
          <w:b w:val="0"/>
          <w:bCs w:val="0"/>
          <w:sz w:val="32"/>
          <w:szCs w:val="32"/>
        </w:rPr>
      </w:pPr>
      <w:bookmarkStart w:id="2" w:name="_Toc69736453"/>
      <w:r>
        <w:rPr>
          <w:rFonts w:hint="eastAsia" w:ascii="黑体" w:hAnsi="黑体" w:eastAsia="黑体"/>
          <w:b w:val="0"/>
          <w:bCs w:val="0"/>
          <w:sz w:val="32"/>
          <w:szCs w:val="32"/>
        </w:rPr>
        <w:t>四、合规性</w:t>
      </w:r>
      <w:bookmarkEnd w:id="2"/>
    </w:p>
    <w:p>
      <w:pPr>
        <w:spacing w:line="360" w:lineRule="auto"/>
        <w:ind w:firstLine="640"/>
        <w:rPr>
          <w:rFonts w:ascii="仿宋_GB2312" w:hAnsi="Times New Roman" w:eastAsia="仿宋_GB2312"/>
          <w:sz w:val="28"/>
          <w:szCs w:val="28"/>
        </w:rPr>
      </w:pPr>
      <w:bookmarkStart w:id="3" w:name="_Toc69736454"/>
      <w:r>
        <w:rPr>
          <w:rFonts w:hint="eastAsia" w:ascii="仿宋_GB2312" w:eastAsia="仿宋_GB2312"/>
          <w:sz w:val="28"/>
          <w:szCs w:val="28"/>
        </w:rPr>
        <w:t>本片区成片开发方案符合</w:t>
      </w:r>
      <w:bookmarkEnd w:id="3"/>
      <w:r>
        <w:rPr>
          <w:rFonts w:hint="eastAsia" w:ascii="仿宋_GB2312" w:hAnsi="Times New Roman" w:eastAsia="仿宋_GB2312"/>
          <w:sz w:val="28"/>
          <w:szCs w:val="28"/>
        </w:rPr>
        <w:t>新建区国民经济和社会发展规划、符合新建区国民经济和社会发展年度计划，成片开发范围位于土地利用总体规划的允许建设区，位于新建区中心城区总体规划用地范围内。不涉及占用永久基本农田保护红线、生态保护红线，</w:t>
      </w:r>
      <w:r>
        <w:rPr>
          <w:rFonts w:hint="eastAsia" w:ascii="仿宋_GB2312" w:hAnsi="仿宋_GB2312" w:eastAsia="仿宋_GB2312" w:cs="仿宋_GB2312"/>
          <w:kern w:val="0"/>
          <w:sz w:val="28"/>
          <w:szCs w:val="28"/>
        </w:rPr>
        <w:t>不涉及占用自然保护地、一级保护林地、历史文化街区名镇名村等特定区域，不涉及土壤污染或疑似污染地块，成片开发范围没有位于地质灾害易发区，区域内地质灾害为不易发，不涉及占用</w:t>
      </w:r>
      <w:r>
        <w:rPr>
          <w:rFonts w:ascii="仿宋_GB2312" w:eastAsia="仿宋_GB2312"/>
          <w:sz w:val="28"/>
        </w:rPr>
        <w:t>采矿探矿权范围</w:t>
      </w:r>
      <w:r>
        <w:rPr>
          <w:rFonts w:hint="eastAsia" w:ascii="仿宋_GB2312" w:eastAsia="仿宋_GB2312"/>
          <w:sz w:val="28"/>
        </w:rPr>
        <w:t>。</w:t>
      </w:r>
    </w:p>
    <w:p>
      <w:pPr>
        <w:pStyle w:val="2"/>
        <w:spacing w:line="240" w:lineRule="auto"/>
        <w:ind w:left="0" w:firstLine="640" w:firstLineChars="200"/>
        <w:rPr>
          <w:rFonts w:ascii="黑体" w:hAnsi="黑体" w:eastAsia="黑体"/>
          <w:b w:val="0"/>
          <w:bCs w:val="0"/>
          <w:sz w:val="32"/>
          <w:szCs w:val="32"/>
        </w:rPr>
      </w:pPr>
      <w:bookmarkStart w:id="4" w:name="_Toc69736458"/>
      <w:r>
        <w:rPr>
          <w:rFonts w:hint="eastAsia" w:ascii="黑体" w:hAnsi="黑体" w:eastAsia="黑体"/>
          <w:b w:val="0"/>
          <w:bCs w:val="0"/>
          <w:sz w:val="32"/>
          <w:szCs w:val="32"/>
        </w:rPr>
        <w:t>五、主要用途和实现功能</w:t>
      </w:r>
      <w:bookmarkEnd w:id="4"/>
    </w:p>
    <w:p>
      <w:pPr>
        <w:spacing w:line="360" w:lineRule="auto"/>
        <w:ind w:firstLine="560" w:firstLineChars="200"/>
        <w:rPr>
          <w:rFonts w:ascii="仿宋_GB2312" w:eastAsia="仿宋_GB2312"/>
          <w:sz w:val="28"/>
        </w:rPr>
      </w:pPr>
      <w:r>
        <w:rPr>
          <w:rFonts w:hint="eastAsia" w:ascii="仿宋_GB2312" w:eastAsia="仿宋_GB2312"/>
          <w:sz w:val="28"/>
        </w:rPr>
        <w:t>本成片开发方案用地总面积106公顷，规划用途为居住用地</w:t>
      </w:r>
      <w:r>
        <w:rPr>
          <w:rFonts w:ascii="仿宋_GB2312" w:eastAsia="仿宋_GB2312"/>
          <w:sz w:val="28"/>
        </w:rPr>
        <w:t>45.64公顷，占比为43.06%</w:t>
      </w:r>
      <w:r>
        <w:rPr>
          <w:rFonts w:hint="eastAsia" w:ascii="仿宋_GB2312" w:eastAsia="仿宋_GB2312"/>
          <w:sz w:val="28"/>
        </w:rPr>
        <w:t>;商业服务业设施用地</w:t>
      </w:r>
      <w:r>
        <w:rPr>
          <w:rFonts w:ascii="仿宋_GB2312" w:eastAsia="仿宋_GB2312"/>
          <w:sz w:val="28"/>
        </w:rPr>
        <w:t>9.03公顷，占比为8.52%</w:t>
      </w:r>
      <w:r>
        <w:rPr>
          <w:rFonts w:hint="eastAsia" w:ascii="仿宋_GB2312" w:eastAsia="仿宋_GB2312"/>
          <w:sz w:val="28"/>
        </w:rPr>
        <w:t>;公共管理与公共服务用地</w:t>
      </w:r>
      <w:r>
        <w:rPr>
          <w:rFonts w:ascii="仿宋_GB2312" w:eastAsia="仿宋_GB2312"/>
          <w:sz w:val="28"/>
        </w:rPr>
        <w:t>15.26公顷，占比为14.40%</w:t>
      </w:r>
      <w:r>
        <w:rPr>
          <w:rFonts w:hint="eastAsia" w:ascii="仿宋_GB2312" w:eastAsia="仿宋_GB2312"/>
          <w:sz w:val="28"/>
        </w:rPr>
        <w:t>;绿地与广场用地</w:t>
      </w:r>
      <w:r>
        <w:rPr>
          <w:rFonts w:ascii="仿宋_GB2312" w:eastAsia="仿宋_GB2312"/>
          <w:sz w:val="28"/>
        </w:rPr>
        <w:t>7.12公顷，占比为6.71%</w:t>
      </w:r>
      <w:r>
        <w:rPr>
          <w:rFonts w:hint="eastAsia" w:ascii="仿宋_GB2312" w:eastAsia="仿宋_GB2312"/>
          <w:sz w:val="28"/>
        </w:rPr>
        <w:t>;道路与交通设施用地</w:t>
      </w:r>
      <w:r>
        <w:rPr>
          <w:rFonts w:ascii="仿宋_GB2312" w:eastAsia="仿宋_GB2312"/>
          <w:sz w:val="28"/>
        </w:rPr>
        <w:t>28.95公顷，占比为27.31%</w:t>
      </w:r>
      <w:r>
        <w:rPr>
          <w:rFonts w:hint="eastAsia" w:ascii="仿宋_GB2312" w:eastAsia="仿宋_GB2312"/>
          <w:sz w:val="28"/>
        </w:rPr>
        <w:t>。</w:t>
      </w:r>
    </w:p>
    <w:p>
      <w:pPr>
        <w:spacing w:line="360" w:lineRule="auto"/>
        <w:ind w:firstLine="560" w:firstLineChars="200"/>
        <w:rPr>
          <w:rFonts w:ascii="仿宋_GB2312" w:eastAsia="仿宋_GB2312"/>
          <w:sz w:val="28"/>
        </w:rPr>
      </w:pPr>
      <w:r>
        <w:rPr>
          <w:rFonts w:hint="eastAsia" w:ascii="仿宋_GB2312" w:eastAsia="仿宋_GB2312"/>
          <w:sz w:val="28"/>
        </w:rPr>
        <w:t>区域土地征收成片开发主要为保障区域发展必要的基础设施、配套设施、拆迁安置以及家居产业等商住用途，抚州大街、鲁田路、梦山大道、上饶大街、兴源路等道路建设，将为“丰”字形骨架街道的形成奠定基础，有利于拉开城市总体框架，有利于区域与红谷滩区及周边乡镇的紧密连接。商住项目用地的开发将为区域家居产业吸引大量的人口、资源等，有利于区域“科创</w:t>
      </w:r>
      <w:r>
        <w:rPr>
          <w:rFonts w:ascii="仿宋_GB2312" w:eastAsia="仿宋_GB2312"/>
          <w:sz w:val="28"/>
        </w:rPr>
        <w:t>+”产业</w:t>
      </w:r>
      <w:r>
        <w:rPr>
          <w:rFonts w:hint="eastAsia" w:ascii="仿宋_GB2312" w:eastAsia="仿宋_GB2312"/>
          <w:sz w:val="28"/>
        </w:rPr>
        <w:t>体系的发展，服务于打造集生态居住、科创金融、商务办公、智慧服务于一体的“城西门户、科创新都”。</w:t>
      </w:r>
    </w:p>
    <w:p>
      <w:pPr>
        <w:pStyle w:val="2"/>
        <w:spacing w:line="240" w:lineRule="auto"/>
        <w:ind w:left="0" w:firstLine="640" w:firstLineChars="200"/>
        <w:rPr>
          <w:rFonts w:ascii="黑体" w:hAnsi="黑体" w:eastAsia="黑体"/>
          <w:b w:val="0"/>
          <w:bCs w:val="0"/>
          <w:sz w:val="32"/>
          <w:szCs w:val="32"/>
        </w:rPr>
      </w:pPr>
      <w:bookmarkStart w:id="5" w:name="_Toc69736462"/>
      <w:r>
        <w:rPr>
          <w:rFonts w:hint="eastAsia" w:ascii="黑体" w:hAnsi="黑体" w:eastAsia="黑体"/>
          <w:b w:val="0"/>
          <w:bCs w:val="0"/>
          <w:sz w:val="32"/>
          <w:szCs w:val="32"/>
        </w:rPr>
        <w:t>六、成片开发计划</w:t>
      </w:r>
      <w:bookmarkEnd w:id="5"/>
    </w:p>
    <w:p>
      <w:pPr>
        <w:ind w:firstLine="640"/>
        <w:rPr>
          <w:rFonts w:ascii="仿宋_GB2312" w:hAnsi="仿宋_GB2312" w:eastAsia="仿宋_GB2312" w:cs="仿宋_GB2312"/>
          <w:sz w:val="28"/>
          <w:szCs w:val="28"/>
        </w:rPr>
      </w:pPr>
      <w:r>
        <w:rPr>
          <w:rFonts w:hint="eastAsia" w:ascii="仿宋_GB2312" w:hAnsi="仿宋_GB2312" w:eastAsia="仿宋_GB2312" w:cs="仿宋_GB2312"/>
          <w:sz w:val="28"/>
          <w:szCs w:val="28"/>
        </w:rPr>
        <w:t>成片开发方案</w:t>
      </w:r>
      <w:r>
        <w:rPr>
          <w:rFonts w:ascii="仿宋_GB2312" w:hAnsi="仿宋_GB2312" w:eastAsia="仿宋_GB2312" w:cs="仿宋_GB2312"/>
          <w:sz w:val="28"/>
          <w:szCs w:val="28"/>
        </w:rPr>
        <w:t>实施期限为</w:t>
      </w:r>
      <w:r>
        <w:rPr>
          <w:rFonts w:hint="eastAsia" w:ascii="仿宋_GB2312" w:hAnsi="仿宋_GB2312" w:eastAsia="仿宋_GB2312" w:cs="仿宋_GB2312"/>
          <w:sz w:val="28"/>
          <w:szCs w:val="28"/>
        </w:rPr>
        <w:t>两</w:t>
      </w:r>
      <w:r>
        <w:rPr>
          <w:rFonts w:ascii="仿宋_GB2312" w:hAnsi="仿宋_GB2312" w:eastAsia="仿宋_GB2312" w:cs="仿宋_GB2312"/>
          <w:sz w:val="28"/>
          <w:szCs w:val="28"/>
        </w:rPr>
        <w:t>年，</w:t>
      </w:r>
      <w:r>
        <w:rPr>
          <w:rFonts w:hint="eastAsia" w:ascii="仿宋_GB2312" w:hAnsi="仿宋_GB2312" w:eastAsia="仿宋_GB2312" w:cs="仿宋_GB2312"/>
          <w:sz w:val="28"/>
          <w:szCs w:val="28"/>
        </w:rPr>
        <w:t>项目建设规模可行、内容有保障，采取的节约集约用地措施可行，</w:t>
      </w:r>
      <w:r>
        <w:rPr>
          <w:rFonts w:ascii="仿宋_GB2312" w:hAnsi="仿宋_GB2312" w:eastAsia="仿宋_GB2312" w:cs="仿宋_GB2312"/>
          <w:sz w:val="28"/>
          <w:szCs w:val="28"/>
        </w:rPr>
        <w:t>成片开发计划具备可行性。</w:t>
      </w:r>
    </w:p>
    <w:p>
      <w:pPr>
        <w:pStyle w:val="2"/>
        <w:spacing w:line="240" w:lineRule="auto"/>
        <w:ind w:left="0" w:firstLine="640" w:firstLineChars="200"/>
        <w:rPr>
          <w:rFonts w:ascii="黑体" w:hAnsi="黑体" w:eastAsia="黑体"/>
          <w:b w:val="0"/>
          <w:bCs w:val="0"/>
          <w:sz w:val="32"/>
          <w:szCs w:val="32"/>
        </w:rPr>
      </w:pPr>
      <w:bookmarkStart w:id="6" w:name="_Toc69736470"/>
      <w:r>
        <w:rPr>
          <w:rFonts w:hint="eastAsia" w:ascii="黑体" w:hAnsi="黑体" w:eastAsia="黑体"/>
          <w:b w:val="0"/>
          <w:bCs w:val="0"/>
          <w:sz w:val="32"/>
          <w:szCs w:val="32"/>
        </w:rPr>
        <w:t>七、公益性用地情况</w:t>
      </w:r>
      <w:bookmarkEnd w:id="6"/>
    </w:p>
    <w:p>
      <w:pPr>
        <w:spacing w:line="360" w:lineRule="auto"/>
        <w:ind w:firstLine="560" w:firstLineChars="200"/>
      </w:pPr>
      <w:r>
        <w:rPr>
          <w:rFonts w:hint="eastAsia" w:ascii="仿宋_GB2312" w:hAnsi="仿宋_GB2312" w:eastAsia="仿宋_GB2312" w:cs="仿宋_GB2312"/>
          <w:sz w:val="28"/>
          <w:szCs w:val="28"/>
        </w:rPr>
        <w:t>本片区成片开发方案中涉及公益性用地包括公共管理与公共服务用地、道路与交通设施用地、绿地与广场用地，合计</w:t>
      </w:r>
      <w:r>
        <w:rPr>
          <w:rFonts w:ascii="仿宋_GB2312" w:hAnsi="仿宋_GB2312" w:eastAsia="仿宋_GB2312" w:cs="仿宋_GB2312"/>
          <w:sz w:val="28"/>
          <w:szCs w:val="28"/>
        </w:rPr>
        <w:t>51.33公顷，占用地总面积的48.42%，符合赣府厅发〔2021〕2号文规定</w:t>
      </w:r>
      <w:r>
        <w:rPr>
          <w:rFonts w:hint="eastAsia" w:ascii="仿宋_GB2312" w:eastAsia="仿宋_GB2312" w:cs="仿宋_GB2312"/>
          <w:kern w:val="0"/>
          <w:sz w:val="28"/>
          <w:szCs w:val="28"/>
        </w:rPr>
        <w:t>。</w:t>
      </w:r>
    </w:p>
    <w:p>
      <w:pPr>
        <w:pStyle w:val="2"/>
        <w:spacing w:line="240" w:lineRule="auto"/>
        <w:ind w:left="0" w:firstLine="640" w:firstLineChars="200"/>
        <w:rPr>
          <w:rFonts w:ascii="黑体" w:hAnsi="黑体" w:eastAsia="黑体"/>
          <w:b w:val="0"/>
          <w:bCs w:val="0"/>
          <w:sz w:val="32"/>
          <w:szCs w:val="32"/>
        </w:rPr>
      </w:pPr>
      <w:bookmarkStart w:id="7" w:name="_Toc69736471"/>
      <w:r>
        <w:rPr>
          <w:rFonts w:hint="eastAsia" w:ascii="黑体" w:hAnsi="黑体" w:eastAsia="黑体"/>
          <w:b w:val="0"/>
          <w:bCs w:val="0"/>
          <w:sz w:val="32"/>
          <w:szCs w:val="32"/>
        </w:rPr>
        <w:t>八、</w:t>
      </w:r>
      <w:bookmarkEnd w:id="7"/>
      <w:r>
        <w:rPr>
          <w:rFonts w:hint="eastAsia" w:ascii="黑体" w:hAnsi="黑体" w:eastAsia="黑体"/>
          <w:b w:val="0"/>
          <w:bCs w:val="0"/>
          <w:sz w:val="32"/>
          <w:szCs w:val="32"/>
        </w:rPr>
        <w:t>成片开发的土地利用及经济、社会、生态效益</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成片开发方案科学确定了年度成片开发的规模、用途及规划强度，有利于强化规划的引领作用，有利于优化土地利用空间格局，因地制宜配置用地，充分发挥土地要素在</w:t>
      </w:r>
      <w:r>
        <w:rPr>
          <w:rFonts w:hint="eastAsia" w:ascii="仿宋_GB2312" w:hAnsi="仿宋_GB2312" w:eastAsia="仿宋_GB2312" w:cs="仿宋_GB2312"/>
          <w:sz w:val="28"/>
          <w:szCs w:val="28"/>
          <w:lang w:eastAsia="zh-CN"/>
        </w:rPr>
        <w:t>九望新城首开区</w:t>
      </w:r>
      <w:r>
        <w:rPr>
          <w:rFonts w:hint="eastAsia" w:ascii="仿宋_GB2312" w:hAnsi="仿宋_GB2312" w:eastAsia="仿宋_GB2312" w:cs="仿宋_GB2312"/>
          <w:sz w:val="28"/>
          <w:szCs w:val="28"/>
        </w:rPr>
        <w:t>建设发展中的作用，</w:t>
      </w:r>
      <w:r>
        <w:rPr>
          <w:rFonts w:hint="eastAsia" w:ascii="Times New Roman" w:hAnsi="Times New Roman" w:eastAsia="仿宋_GB2312" w:cs="Times New Roman"/>
          <w:sz w:val="28"/>
          <w:szCs w:val="28"/>
        </w:rPr>
        <w:t>项目区的开发建设具有良好的经济效益。能够带动当地就业，提升居民生活水平，提升城镇品质，</w:t>
      </w:r>
      <w:r>
        <w:rPr>
          <w:rFonts w:hint="eastAsia" w:ascii="仿宋_GB2312" w:hAnsi="仿宋_GB2312" w:eastAsia="仿宋_GB2312" w:cs="仿宋_GB2312"/>
          <w:kern w:val="0"/>
          <w:sz w:val="28"/>
          <w:szCs w:val="28"/>
        </w:rPr>
        <w:t>增强</w:t>
      </w:r>
      <w:r>
        <w:rPr>
          <w:rFonts w:hint="eastAsia" w:ascii="仿宋_GB2312" w:hAnsi="仿宋_GB2312" w:eastAsia="仿宋_GB2312" w:cs="仿宋_GB2312"/>
          <w:sz w:val="28"/>
          <w:szCs w:val="28"/>
        </w:rPr>
        <w:t>城镇吸引力。有利于改善人居环境、创新绿色发展。</w:t>
      </w:r>
    </w:p>
    <w:p>
      <w:pPr>
        <w:rPr>
          <w:rFonts w:ascii="仿宋_GB2312" w:hAnsi="仿宋_GB2312" w:eastAsia="仿宋_GB2312" w:cs="仿宋_GB2312"/>
          <w:kern w:val="0"/>
          <w:sz w:val="28"/>
          <w:szCs w:val="28"/>
        </w:rPr>
        <w:sectPr>
          <w:footerReference r:id="rId3" w:type="default"/>
          <w:pgSz w:w="11906" w:h="16838"/>
          <w:pgMar w:top="1440" w:right="1800" w:bottom="1440" w:left="1800" w:header="851" w:footer="992" w:gutter="0"/>
          <w:pgNumType w:start="1"/>
          <w:cols w:space="425" w:num="1"/>
          <w:docGrid w:type="lines" w:linePitch="312" w:charSpace="0"/>
        </w:sectPr>
      </w:pPr>
    </w:p>
    <w:p>
      <w:pPr>
        <w:pStyle w:val="2"/>
        <w:spacing w:line="240" w:lineRule="auto"/>
        <w:ind w:left="0" w:firstLine="640" w:firstLineChars="200"/>
        <w:rPr>
          <w:rFonts w:ascii="黑体" w:hAnsi="黑体" w:eastAsia="黑体"/>
          <w:b w:val="0"/>
          <w:bCs w:val="0"/>
          <w:sz w:val="32"/>
          <w:szCs w:val="32"/>
        </w:rPr>
      </w:pPr>
      <w:bookmarkStart w:id="8" w:name="_Toc69736491"/>
      <w:r>
        <w:rPr>
          <w:rFonts w:hint="eastAsia" w:ascii="黑体" w:hAnsi="黑体" w:eastAsia="黑体"/>
          <w:b w:val="0"/>
          <w:bCs w:val="0"/>
          <w:sz w:val="32"/>
          <w:szCs w:val="32"/>
        </w:rPr>
        <w:t>附图</w:t>
      </w:r>
      <w:bookmarkEnd w:id="8"/>
    </w:p>
    <w:p>
      <w:pPr>
        <w:jc w:val="center"/>
        <w:rPr>
          <w:rFonts w:ascii="仿宋_GB2312" w:hAnsi="仿宋_GB2312" w:eastAsia="仿宋_GB2312" w:cs="仿宋_GB2312"/>
          <w:kern w:val="0"/>
          <w:sz w:val="28"/>
          <w:szCs w:val="28"/>
        </w:rPr>
        <w:sectPr>
          <w:pgSz w:w="23811" w:h="16838" w:orient="landscape"/>
          <w:pgMar w:top="1797" w:right="1440" w:bottom="1797" w:left="1440" w:header="851" w:footer="992" w:gutter="0"/>
          <w:cols w:space="425" w:num="1"/>
          <w:docGrid w:type="lines" w:linePitch="312" w:charSpace="0"/>
        </w:sectPr>
      </w:pPr>
      <w:r>
        <w:drawing>
          <wp:inline distT="0" distB="0" distL="0" distR="0">
            <wp:extent cx="11159490" cy="7898130"/>
            <wp:effectExtent l="0" t="0" r="381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1160000" cy="7898415"/>
                    </a:xfrm>
                    <a:prstGeom prst="rect">
                      <a:avLst/>
                    </a:prstGeom>
                    <a:noFill/>
                    <a:ln>
                      <a:noFill/>
                    </a:ln>
                  </pic:spPr>
                </pic:pic>
              </a:graphicData>
            </a:graphic>
          </wp:inline>
        </w:drawing>
      </w:r>
    </w:p>
    <w:p>
      <w:pPr>
        <w:jc w:val="center"/>
        <w:rPr>
          <w:rFonts w:ascii="仿宋_GB2312" w:hAnsi="仿宋_GB2312" w:eastAsia="仿宋_GB2312" w:cs="仿宋_GB2312"/>
          <w:kern w:val="0"/>
          <w:sz w:val="28"/>
          <w:szCs w:val="28"/>
        </w:rPr>
        <w:sectPr>
          <w:pgSz w:w="23811" w:h="16838" w:orient="landscape"/>
          <w:pgMar w:top="1797" w:right="1440" w:bottom="1797" w:left="1440" w:header="851" w:footer="992" w:gutter="0"/>
          <w:cols w:space="425" w:num="1"/>
          <w:docGrid w:type="lines" w:linePitch="312" w:charSpace="0"/>
        </w:sectPr>
      </w:pPr>
      <w:r>
        <w:drawing>
          <wp:inline distT="0" distB="0" distL="0" distR="0">
            <wp:extent cx="11159490" cy="7898130"/>
            <wp:effectExtent l="0" t="0" r="381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1160000" cy="7898416"/>
                    </a:xfrm>
                    <a:prstGeom prst="rect">
                      <a:avLst/>
                    </a:prstGeom>
                    <a:noFill/>
                    <a:ln>
                      <a:noFill/>
                    </a:ln>
                  </pic:spPr>
                </pic:pic>
              </a:graphicData>
            </a:graphic>
          </wp:inline>
        </w:drawing>
      </w:r>
    </w:p>
    <w:p>
      <w:pPr>
        <w:jc w:val="center"/>
        <w:rPr>
          <w:rFonts w:ascii="仿宋_GB2312" w:hAnsi="仿宋_GB2312" w:eastAsia="仿宋_GB2312" w:cs="仿宋_GB2312"/>
          <w:kern w:val="0"/>
          <w:sz w:val="28"/>
          <w:szCs w:val="28"/>
        </w:rPr>
      </w:pPr>
      <w:r>
        <w:drawing>
          <wp:inline distT="0" distB="0" distL="0" distR="0">
            <wp:extent cx="11159490" cy="7898130"/>
            <wp:effectExtent l="0" t="0" r="381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1160000" cy="7898416"/>
                    </a:xfrm>
                    <a:prstGeom prst="rect">
                      <a:avLst/>
                    </a:prstGeom>
                    <a:noFill/>
                    <a:ln>
                      <a:noFill/>
                    </a:ln>
                  </pic:spPr>
                </pic:pic>
              </a:graphicData>
            </a:graphic>
          </wp:inline>
        </w:drawing>
      </w:r>
    </w:p>
    <w:sectPr>
      <w:pgSz w:w="23811" w:h="16838" w:orient="landscape"/>
      <w:pgMar w:top="1797" w:right="1440" w:bottom="1797"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70252574"/>
      <w:docPartObj>
        <w:docPartGallery w:val="autotext"/>
      </w:docPartObj>
    </w:sdtPr>
    <w:sdtContent>
      <w:p>
        <w:pPr>
          <w:pStyle w:val="7"/>
          <w:jc w:val="center"/>
        </w:pPr>
        <w:r>
          <w:fldChar w:fldCharType="begin"/>
        </w:r>
        <w:r>
          <w:instrText xml:space="preserve">PAGE   \* MERGEFORMAT</w:instrText>
        </w:r>
        <w:r>
          <w:fldChar w:fldCharType="separate"/>
        </w:r>
        <w:r>
          <w:rPr>
            <w:lang w:val="zh-CN"/>
          </w:rPr>
          <w:t>2</w:t>
        </w:r>
        <w: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863"/>
    <w:rsid w:val="00002990"/>
    <w:rsid w:val="00006A39"/>
    <w:rsid w:val="00021358"/>
    <w:rsid w:val="0002636E"/>
    <w:rsid w:val="00034D98"/>
    <w:rsid w:val="00035302"/>
    <w:rsid w:val="00044CF4"/>
    <w:rsid w:val="0004620D"/>
    <w:rsid w:val="0004666E"/>
    <w:rsid w:val="00050931"/>
    <w:rsid w:val="00055F67"/>
    <w:rsid w:val="00060E47"/>
    <w:rsid w:val="00064FD9"/>
    <w:rsid w:val="00071B2D"/>
    <w:rsid w:val="000721EE"/>
    <w:rsid w:val="00075EBC"/>
    <w:rsid w:val="000812B6"/>
    <w:rsid w:val="00081EE2"/>
    <w:rsid w:val="00084F32"/>
    <w:rsid w:val="0008792B"/>
    <w:rsid w:val="00095539"/>
    <w:rsid w:val="00095B8B"/>
    <w:rsid w:val="000A1077"/>
    <w:rsid w:val="000A1658"/>
    <w:rsid w:val="000A60A2"/>
    <w:rsid w:val="000B193E"/>
    <w:rsid w:val="000C761A"/>
    <w:rsid w:val="000C7AC1"/>
    <w:rsid w:val="000D2683"/>
    <w:rsid w:val="000D53B3"/>
    <w:rsid w:val="000E43F0"/>
    <w:rsid w:val="00100D8D"/>
    <w:rsid w:val="00100EE0"/>
    <w:rsid w:val="00101DB0"/>
    <w:rsid w:val="00102897"/>
    <w:rsid w:val="0010659D"/>
    <w:rsid w:val="00112F50"/>
    <w:rsid w:val="00116210"/>
    <w:rsid w:val="001331DA"/>
    <w:rsid w:val="00141D48"/>
    <w:rsid w:val="00150D9A"/>
    <w:rsid w:val="00152203"/>
    <w:rsid w:val="00153287"/>
    <w:rsid w:val="0016462A"/>
    <w:rsid w:val="00172115"/>
    <w:rsid w:val="001746AF"/>
    <w:rsid w:val="001777DC"/>
    <w:rsid w:val="0018342C"/>
    <w:rsid w:val="001936E2"/>
    <w:rsid w:val="00196223"/>
    <w:rsid w:val="00197248"/>
    <w:rsid w:val="001A0411"/>
    <w:rsid w:val="001A13B0"/>
    <w:rsid w:val="001A57E9"/>
    <w:rsid w:val="001A7845"/>
    <w:rsid w:val="001B0804"/>
    <w:rsid w:val="001B43BB"/>
    <w:rsid w:val="001C1906"/>
    <w:rsid w:val="001C6D7B"/>
    <w:rsid w:val="001C7025"/>
    <w:rsid w:val="001D0CE8"/>
    <w:rsid w:val="001D0FFA"/>
    <w:rsid w:val="001D21B3"/>
    <w:rsid w:val="001D228A"/>
    <w:rsid w:val="001D5874"/>
    <w:rsid w:val="001E6B39"/>
    <w:rsid w:val="001F05B5"/>
    <w:rsid w:val="001F106E"/>
    <w:rsid w:val="001F4DF9"/>
    <w:rsid w:val="001F692B"/>
    <w:rsid w:val="002032B3"/>
    <w:rsid w:val="00203630"/>
    <w:rsid w:val="00217520"/>
    <w:rsid w:val="002200DF"/>
    <w:rsid w:val="0022743E"/>
    <w:rsid w:val="002378EE"/>
    <w:rsid w:val="00237C7B"/>
    <w:rsid w:val="00246E08"/>
    <w:rsid w:val="00262CBB"/>
    <w:rsid w:val="00265FC8"/>
    <w:rsid w:val="00270D34"/>
    <w:rsid w:val="00271387"/>
    <w:rsid w:val="00273723"/>
    <w:rsid w:val="00274DD8"/>
    <w:rsid w:val="00277468"/>
    <w:rsid w:val="0028000A"/>
    <w:rsid w:val="00283954"/>
    <w:rsid w:val="00283E5A"/>
    <w:rsid w:val="00284164"/>
    <w:rsid w:val="00284D80"/>
    <w:rsid w:val="002853A5"/>
    <w:rsid w:val="00287056"/>
    <w:rsid w:val="0028762C"/>
    <w:rsid w:val="002905B6"/>
    <w:rsid w:val="00290795"/>
    <w:rsid w:val="00295AE7"/>
    <w:rsid w:val="00297F13"/>
    <w:rsid w:val="002A089A"/>
    <w:rsid w:val="002A1B28"/>
    <w:rsid w:val="002A4A40"/>
    <w:rsid w:val="002B113E"/>
    <w:rsid w:val="002B6D07"/>
    <w:rsid w:val="002C03E3"/>
    <w:rsid w:val="002C4583"/>
    <w:rsid w:val="002C6ED2"/>
    <w:rsid w:val="002D07C0"/>
    <w:rsid w:val="002D5095"/>
    <w:rsid w:val="002D5AF4"/>
    <w:rsid w:val="002D745B"/>
    <w:rsid w:val="002D7C48"/>
    <w:rsid w:val="002E1D30"/>
    <w:rsid w:val="002F7C84"/>
    <w:rsid w:val="003021A4"/>
    <w:rsid w:val="00305C47"/>
    <w:rsid w:val="003077B3"/>
    <w:rsid w:val="00314EAD"/>
    <w:rsid w:val="00317F1B"/>
    <w:rsid w:val="00322345"/>
    <w:rsid w:val="0032544F"/>
    <w:rsid w:val="00331593"/>
    <w:rsid w:val="003356B4"/>
    <w:rsid w:val="00347FC8"/>
    <w:rsid w:val="00353F95"/>
    <w:rsid w:val="00354113"/>
    <w:rsid w:val="00360F2C"/>
    <w:rsid w:val="00362914"/>
    <w:rsid w:val="003644D5"/>
    <w:rsid w:val="00366272"/>
    <w:rsid w:val="00367716"/>
    <w:rsid w:val="00374380"/>
    <w:rsid w:val="00377A59"/>
    <w:rsid w:val="00380DAF"/>
    <w:rsid w:val="00384B05"/>
    <w:rsid w:val="00386887"/>
    <w:rsid w:val="00391A4C"/>
    <w:rsid w:val="00392B93"/>
    <w:rsid w:val="00394689"/>
    <w:rsid w:val="003A0CF6"/>
    <w:rsid w:val="003A357A"/>
    <w:rsid w:val="003B0E72"/>
    <w:rsid w:val="003C2F42"/>
    <w:rsid w:val="003C4345"/>
    <w:rsid w:val="003C69F4"/>
    <w:rsid w:val="003D20B4"/>
    <w:rsid w:val="003D48BB"/>
    <w:rsid w:val="003E0B1E"/>
    <w:rsid w:val="003E3287"/>
    <w:rsid w:val="003F0A1D"/>
    <w:rsid w:val="003F1AA7"/>
    <w:rsid w:val="003F3EF1"/>
    <w:rsid w:val="003F6FBA"/>
    <w:rsid w:val="003F709D"/>
    <w:rsid w:val="00405A4E"/>
    <w:rsid w:val="00405D7E"/>
    <w:rsid w:val="00406171"/>
    <w:rsid w:val="0041053E"/>
    <w:rsid w:val="00414551"/>
    <w:rsid w:val="00416DB3"/>
    <w:rsid w:val="004244B6"/>
    <w:rsid w:val="00442B8A"/>
    <w:rsid w:val="00442BBF"/>
    <w:rsid w:val="004515A8"/>
    <w:rsid w:val="00456AA6"/>
    <w:rsid w:val="00456E8B"/>
    <w:rsid w:val="004665E4"/>
    <w:rsid w:val="004675EB"/>
    <w:rsid w:val="004715DC"/>
    <w:rsid w:val="00473D1F"/>
    <w:rsid w:val="004753FA"/>
    <w:rsid w:val="00493D35"/>
    <w:rsid w:val="0049467C"/>
    <w:rsid w:val="00494BB5"/>
    <w:rsid w:val="00496A29"/>
    <w:rsid w:val="004A0ED3"/>
    <w:rsid w:val="004A1F88"/>
    <w:rsid w:val="004A2E08"/>
    <w:rsid w:val="004A3BC9"/>
    <w:rsid w:val="004B0BC6"/>
    <w:rsid w:val="004B4DF4"/>
    <w:rsid w:val="004C3598"/>
    <w:rsid w:val="004C4E1C"/>
    <w:rsid w:val="004D117D"/>
    <w:rsid w:val="004D6877"/>
    <w:rsid w:val="004D6AAB"/>
    <w:rsid w:val="004E6FE3"/>
    <w:rsid w:val="004E7688"/>
    <w:rsid w:val="004F245D"/>
    <w:rsid w:val="004F7BEC"/>
    <w:rsid w:val="005030BD"/>
    <w:rsid w:val="005036B8"/>
    <w:rsid w:val="00504C3A"/>
    <w:rsid w:val="00505813"/>
    <w:rsid w:val="00515173"/>
    <w:rsid w:val="00540931"/>
    <w:rsid w:val="00540E2E"/>
    <w:rsid w:val="00543056"/>
    <w:rsid w:val="00543B46"/>
    <w:rsid w:val="00545B1A"/>
    <w:rsid w:val="00552936"/>
    <w:rsid w:val="0055484E"/>
    <w:rsid w:val="005566FE"/>
    <w:rsid w:val="005570D2"/>
    <w:rsid w:val="0056061C"/>
    <w:rsid w:val="00573261"/>
    <w:rsid w:val="00573D0F"/>
    <w:rsid w:val="005743B1"/>
    <w:rsid w:val="00576531"/>
    <w:rsid w:val="00581C33"/>
    <w:rsid w:val="00586EF0"/>
    <w:rsid w:val="00590C44"/>
    <w:rsid w:val="005A4265"/>
    <w:rsid w:val="005B70B0"/>
    <w:rsid w:val="005B73CE"/>
    <w:rsid w:val="005B792B"/>
    <w:rsid w:val="005B7CC5"/>
    <w:rsid w:val="005C1497"/>
    <w:rsid w:val="005C6E6D"/>
    <w:rsid w:val="005D4FC4"/>
    <w:rsid w:val="005D5C03"/>
    <w:rsid w:val="005E1B3B"/>
    <w:rsid w:val="005E77F4"/>
    <w:rsid w:val="005F08A0"/>
    <w:rsid w:val="005F5CFB"/>
    <w:rsid w:val="005F68D2"/>
    <w:rsid w:val="00607182"/>
    <w:rsid w:val="00607541"/>
    <w:rsid w:val="0061135A"/>
    <w:rsid w:val="006136A8"/>
    <w:rsid w:val="006213D9"/>
    <w:rsid w:val="00624472"/>
    <w:rsid w:val="00626CAA"/>
    <w:rsid w:val="00627EF1"/>
    <w:rsid w:val="00630EE8"/>
    <w:rsid w:val="0063310B"/>
    <w:rsid w:val="00633F60"/>
    <w:rsid w:val="0063572A"/>
    <w:rsid w:val="00637347"/>
    <w:rsid w:val="00640947"/>
    <w:rsid w:val="006414B2"/>
    <w:rsid w:val="00644E65"/>
    <w:rsid w:val="00645927"/>
    <w:rsid w:val="006461AC"/>
    <w:rsid w:val="006465B3"/>
    <w:rsid w:val="00652FF3"/>
    <w:rsid w:val="006530A8"/>
    <w:rsid w:val="006572BE"/>
    <w:rsid w:val="0065741B"/>
    <w:rsid w:val="006574A9"/>
    <w:rsid w:val="006577A3"/>
    <w:rsid w:val="00660A98"/>
    <w:rsid w:val="0066320F"/>
    <w:rsid w:val="00672A51"/>
    <w:rsid w:val="00672D46"/>
    <w:rsid w:val="006830EC"/>
    <w:rsid w:val="00684295"/>
    <w:rsid w:val="006936EB"/>
    <w:rsid w:val="00694CFA"/>
    <w:rsid w:val="006A21F4"/>
    <w:rsid w:val="006B6F27"/>
    <w:rsid w:val="006C51B3"/>
    <w:rsid w:val="006C6408"/>
    <w:rsid w:val="006C68EA"/>
    <w:rsid w:val="006D49E9"/>
    <w:rsid w:val="006E0F99"/>
    <w:rsid w:val="006E0FAF"/>
    <w:rsid w:val="006E10EC"/>
    <w:rsid w:val="006E21DF"/>
    <w:rsid w:val="006E6E7F"/>
    <w:rsid w:val="006F6C32"/>
    <w:rsid w:val="007112E0"/>
    <w:rsid w:val="00713B40"/>
    <w:rsid w:val="00715B6E"/>
    <w:rsid w:val="007169F3"/>
    <w:rsid w:val="00722A70"/>
    <w:rsid w:val="007241C6"/>
    <w:rsid w:val="00726291"/>
    <w:rsid w:val="007274E8"/>
    <w:rsid w:val="007342AF"/>
    <w:rsid w:val="00736833"/>
    <w:rsid w:val="00737969"/>
    <w:rsid w:val="007406D9"/>
    <w:rsid w:val="00746B19"/>
    <w:rsid w:val="00753CC2"/>
    <w:rsid w:val="00753CED"/>
    <w:rsid w:val="007552DE"/>
    <w:rsid w:val="007628DA"/>
    <w:rsid w:val="00763F99"/>
    <w:rsid w:val="007729B0"/>
    <w:rsid w:val="00772E6F"/>
    <w:rsid w:val="00775D76"/>
    <w:rsid w:val="00781E9A"/>
    <w:rsid w:val="00791C74"/>
    <w:rsid w:val="007925C7"/>
    <w:rsid w:val="007A6269"/>
    <w:rsid w:val="007B1462"/>
    <w:rsid w:val="007B510D"/>
    <w:rsid w:val="007B68C1"/>
    <w:rsid w:val="007C21C5"/>
    <w:rsid w:val="007C317B"/>
    <w:rsid w:val="007C758F"/>
    <w:rsid w:val="007D0CBF"/>
    <w:rsid w:val="007D17DB"/>
    <w:rsid w:val="007D3D05"/>
    <w:rsid w:val="007D6D36"/>
    <w:rsid w:val="007E2559"/>
    <w:rsid w:val="007E2678"/>
    <w:rsid w:val="007E4379"/>
    <w:rsid w:val="007F1209"/>
    <w:rsid w:val="007F1EEE"/>
    <w:rsid w:val="007F275D"/>
    <w:rsid w:val="007F75F2"/>
    <w:rsid w:val="00800EBC"/>
    <w:rsid w:val="00804B1D"/>
    <w:rsid w:val="00814563"/>
    <w:rsid w:val="0081581C"/>
    <w:rsid w:val="008217B5"/>
    <w:rsid w:val="00824775"/>
    <w:rsid w:val="00831BF4"/>
    <w:rsid w:val="00832822"/>
    <w:rsid w:val="0083390C"/>
    <w:rsid w:val="00837F29"/>
    <w:rsid w:val="0085219C"/>
    <w:rsid w:val="00852972"/>
    <w:rsid w:val="008543E3"/>
    <w:rsid w:val="00856C18"/>
    <w:rsid w:val="00861EB8"/>
    <w:rsid w:val="00863A19"/>
    <w:rsid w:val="0086552D"/>
    <w:rsid w:val="008745FC"/>
    <w:rsid w:val="0088297D"/>
    <w:rsid w:val="00883B91"/>
    <w:rsid w:val="00883E18"/>
    <w:rsid w:val="00892A10"/>
    <w:rsid w:val="0089457F"/>
    <w:rsid w:val="008978BF"/>
    <w:rsid w:val="00897A4D"/>
    <w:rsid w:val="008A265C"/>
    <w:rsid w:val="008A40A8"/>
    <w:rsid w:val="008B00D2"/>
    <w:rsid w:val="008B2C9D"/>
    <w:rsid w:val="008B4603"/>
    <w:rsid w:val="008C3290"/>
    <w:rsid w:val="008C4239"/>
    <w:rsid w:val="008C7BEC"/>
    <w:rsid w:val="008E0456"/>
    <w:rsid w:val="008E09A1"/>
    <w:rsid w:val="008F0C5F"/>
    <w:rsid w:val="008F1072"/>
    <w:rsid w:val="008F3EEF"/>
    <w:rsid w:val="008F60A2"/>
    <w:rsid w:val="0090374B"/>
    <w:rsid w:val="00904A06"/>
    <w:rsid w:val="00915AD7"/>
    <w:rsid w:val="00915E55"/>
    <w:rsid w:val="00921972"/>
    <w:rsid w:val="00923D14"/>
    <w:rsid w:val="009271FE"/>
    <w:rsid w:val="00930369"/>
    <w:rsid w:val="009361CF"/>
    <w:rsid w:val="00943758"/>
    <w:rsid w:val="00944D93"/>
    <w:rsid w:val="0094625C"/>
    <w:rsid w:val="00950D9E"/>
    <w:rsid w:val="00951987"/>
    <w:rsid w:val="009556F4"/>
    <w:rsid w:val="00955BDE"/>
    <w:rsid w:val="00957C3D"/>
    <w:rsid w:val="00962EBF"/>
    <w:rsid w:val="00964537"/>
    <w:rsid w:val="00967068"/>
    <w:rsid w:val="00972E6B"/>
    <w:rsid w:val="009751CB"/>
    <w:rsid w:val="0098307D"/>
    <w:rsid w:val="00993E5B"/>
    <w:rsid w:val="00997B1C"/>
    <w:rsid w:val="00997ECD"/>
    <w:rsid w:val="009A0FA7"/>
    <w:rsid w:val="009A2DE2"/>
    <w:rsid w:val="009A599F"/>
    <w:rsid w:val="009A613F"/>
    <w:rsid w:val="009B248A"/>
    <w:rsid w:val="009B2D0A"/>
    <w:rsid w:val="009B5B22"/>
    <w:rsid w:val="009B5D7A"/>
    <w:rsid w:val="009B7BBD"/>
    <w:rsid w:val="009C106C"/>
    <w:rsid w:val="009C16C6"/>
    <w:rsid w:val="009C35D8"/>
    <w:rsid w:val="009C66C9"/>
    <w:rsid w:val="009D4481"/>
    <w:rsid w:val="009D5448"/>
    <w:rsid w:val="009D5A3B"/>
    <w:rsid w:val="009E18F8"/>
    <w:rsid w:val="009E36E9"/>
    <w:rsid w:val="009E685E"/>
    <w:rsid w:val="009E7258"/>
    <w:rsid w:val="009F3A77"/>
    <w:rsid w:val="009F5D72"/>
    <w:rsid w:val="009F5DE2"/>
    <w:rsid w:val="00A00FAF"/>
    <w:rsid w:val="00A05374"/>
    <w:rsid w:val="00A077C5"/>
    <w:rsid w:val="00A24AF9"/>
    <w:rsid w:val="00A31B05"/>
    <w:rsid w:val="00A373AA"/>
    <w:rsid w:val="00A42E0A"/>
    <w:rsid w:val="00A440EE"/>
    <w:rsid w:val="00A44CBB"/>
    <w:rsid w:val="00A45917"/>
    <w:rsid w:val="00A52F46"/>
    <w:rsid w:val="00A533FC"/>
    <w:rsid w:val="00A60748"/>
    <w:rsid w:val="00A63F1E"/>
    <w:rsid w:val="00A640DD"/>
    <w:rsid w:val="00A75F4F"/>
    <w:rsid w:val="00A813F2"/>
    <w:rsid w:val="00A8198C"/>
    <w:rsid w:val="00A831CC"/>
    <w:rsid w:val="00A83444"/>
    <w:rsid w:val="00A83C0A"/>
    <w:rsid w:val="00A94D98"/>
    <w:rsid w:val="00A96ADE"/>
    <w:rsid w:val="00A9779E"/>
    <w:rsid w:val="00AA2478"/>
    <w:rsid w:val="00AA7863"/>
    <w:rsid w:val="00AB4CC4"/>
    <w:rsid w:val="00AB644C"/>
    <w:rsid w:val="00AB786F"/>
    <w:rsid w:val="00AC4F60"/>
    <w:rsid w:val="00AC7C4D"/>
    <w:rsid w:val="00AD3890"/>
    <w:rsid w:val="00AD6CDB"/>
    <w:rsid w:val="00AD77AE"/>
    <w:rsid w:val="00AE6FDC"/>
    <w:rsid w:val="00AF2387"/>
    <w:rsid w:val="00AF5FEC"/>
    <w:rsid w:val="00AF7DA7"/>
    <w:rsid w:val="00B00F4E"/>
    <w:rsid w:val="00B0255D"/>
    <w:rsid w:val="00B02BAD"/>
    <w:rsid w:val="00B02E4C"/>
    <w:rsid w:val="00B0492F"/>
    <w:rsid w:val="00B10EA9"/>
    <w:rsid w:val="00B12080"/>
    <w:rsid w:val="00B16CB9"/>
    <w:rsid w:val="00B20568"/>
    <w:rsid w:val="00B24468"/>
    <w:rsid w:val="00B35B9E"/>
    <w:rsid w:val="00B36B42"/>
    <w:rsid w:val="00B37576"/>
    <w:rsid w:val="00B411AD"/>
    <w:rsid w:val="00B42858"/>
    <w:rsid w:val="00B4344A"/>
    <w:rsid w:val="00B43AFC"/>
    <w:rsid w:val="00B47F06"/>
    <w:rsid w:val="00B52C36"/>
    <w:rsid w:val="00B54F88"/>
    <w:rsid w:val="00B6111C"/>
    <w:rsid w:val="00B61E7C"/>
    <w:rsid w:val="00B7002E"/>
    <w:rsid w:val="00B70274"/>
    <w:rsid w:val="00B83E4C"/>
    <w:rsid w:val="00B9075D"/>
    <w:rsid w:val="00B9155E"/>
    <w:rsid w:val="00B941FC"/>
    <w:rsid w:val="00B95665"/>
    <w:rsid w:val="00B956D7"/>
    <w:rsid w:val="00B96571"/>
    <w:rsid w:val="00BA06CE"/>
    <w:rsid w:val="00BA7DF8"/>
    <w:rsid w:val="00BB1AF4"/>
    <w:rsid w:val="00BB2B4C"/>
    <w:rsid w:val="00BB3804"/>
    <w:rsid w:val="00BB3FEC"/>
    <w:rsid w:val="00BB5803"/>
    <w:rsid w:val="00BC02C1"/>
    <w:rsid w:val="00BC0B13"/>
    <w:rsid w:val="00BC4C62"/>
    <w:rsid w:val="00BD0726"/>
    <w:rsid w:val="00BE1BEB"/>
    <w:rsid w:val="00BF3EBF"/>
    <w:rsid w:val="00BF40C9"/>
    <w:rsid w:val="00BF6FD2"/>
    <w:rsid w:val="00C02F70"/>
    <w:rsid w:val="00C035BC"/>
    <w:rsid w:val="00C03B48"/>
    <w:rsid w:val="00C07A3F"/>
    <w:rsid w:val="00C10900"/>
    <w:rsid w:val="00C149C8"/>
    <w:rsid w:val="00C14CFD"/>
    <w:rsid w:val="00C21567"/>
    <w:rsid w:val="00C34F09"/>
    <w:rsid w:val="00C4077D"/>
    <w:rsid w:val="00C45D55"/>
    <w:rsid w:val="00C47AA6"/>
    <w:rsid w:val="00C501F5"/>
    <w:rsid w:val="00C53CB9"/>
    <w:rsid w:val="00C544D1"/>
    <w:rsid w:val="00C55306"/>
    <w:rsid w:val="00C55AD1"/>
    <w:rsid w:val="00C60218"/>
    <w:rsid w:val="00C64BB5"/>
    <w:rsid w:val="00C652FD"/>
    <w:rsid w:val="00C6790D"/>
    <w:rsid w:val="00C72EC3"/>
    <w:rsid w:val="00C7495E"/>
    <w:rsid w:val="00C8604B"/>
    <w:rsid w:val="00C86E87"/>
    <w:rsid w:val="00C90140"/>
    <w:rsid w:val="00C91D2C"/>
    <w:rsid w:val="00C95243"/>
    <w:rsid w:val="00CB1261"/>
    <w:rsid w:val="00CB26DA"/>
    <w:rsid w:val="00CB33FC"/>
    <w:rsid w:val="00CC31DD"/>
    <w:rsid w:val="00CC4E3D"/>
    <w:rsid w:val="00CC6082"/>
    <w:rsid w:val="00CD3D65"/>
    <w:rsid w:val="00CD7807"/>
    <w:rsid w:val="00CE2E4D"/>
    <w:rsid w:val="00CE3970"/>
    <w:rsid w:val="00CE40AC"/>
    <w:rsid w:val="00CE58FD"/>
    <w:rsid w:val="00CE7379"/>
    <w:rsid w:val="00CF1F35"/>
    <w:rsid w:val="00CF336B"/>
    <w:rsid w:val="00CF3A85"/>
    <w:rsid w:val="00D06C46"/>
    <w:rsid w:val="00D11CFD"/>
    <w:rsid w:val="00D11ECE"/>
    <w:rsid w:val="00D12F29"/>
    <w:rsid w:val="00D1724F"/>
    <w:rsid w:val="00D23D2D"/>
    <w:rsid w:val="00D372ED"/>
    <w:rsid w:val="00D37E29"/>
    <w:rsid w:val="00D41014"/>
    <w:rsid w:val="00D41417"/>
    <w:rsid w:val="00D429FA"/>
    <w:rsid w:val="00D45B2E"/>
    <w:rsid w:val="00D50ABA"/>
    <w:rsid w:val="00D548DD"/>
    <w:rsid w:val="00D550CC"/>
    <w:rsid w:val="00D55307"/>
    <w:rsid w:val="00D57A2C"/>
    <w:rsid w:val="00D60331"/>
    <w:rsid w:val="00D6249F"/>
    <w:rsid w:val="00D71D9C"/>
    <w:rsid w:val="00D7307F"/>
    <w:rsid w:val="00D760FC"/>
    <w:rsid w:val="00D80C43"/>
    <w:rsid w:val="00D8255B"/>
    <w:rsid w:val="00D83944"/>
    <w:rsid w:val="00D83A2B"/>
    <w:rsid w:val="00D83D2E"/>
    <w:rsid w:val="00D852B8"/>
    <w:rsid w:val="00D92019"/>
    <w:rsid w:val="00D920C1"/>
    <w:rsid w:val="00D92CC7"/>
    <w:rsid w:val="00D955AB"/>
    <w:rsid w:val="00D9638A"/>
    <w:rsid w:val="00D97FB9"/>
    <w:rsid w:val="00DA10DA"/>
    <w:rsid w:val="00DA43B1"/>
    <w:rsid w:val="00DB357D"/>
    <w:rsid w:val="00DB59FD"/>
    <w:rsid w:val="00DB71F0"/>
    <w:rsid w:val="00DC78A4"/>
    <w:rsid w:val="00DD0E88"/>
    <w:rsid w:val="00DD1906"/>
    <w:rsid w:val="00DE1762"/>
    <w:rsid w:val="00DE1B8D"/>
    <w:rsid w:val="00DE2638"/>
    <w:rsid w:val="00DF09C9"/>
    <w:rsid w:val="00DF1E7A"/>
    <w:rsid w:val="00DF3F77"/>
    <w:rsid w:val="00DF7376"/>
    <w:rsid w:val="00E01228"/>
    <w:rsid w:val="00E0168B"/>
    <w:rsid w:val="00E0308C"/>
    <w:rsid w:val="00E04F75"/>
    <w:rsid w:val="00E07E3B"/>
    <w:rsid w:val="00E100F6"/>
    <w:rsid w:val="00E110BB"/>
    <w:rsid w:val="00E148B2"/>
    <w:rsid w:val="00E17943"/>
    <w:rsid w:val="00E17EB2"/>
    <w:rsid w:val="00E22667"/>
    <w:rsid w:val="00E2394A"/>
    <w:rsid w:val="00E26C11"/>
    <w:rsid w:val="00E31CF4"/>
    <w:rsid w:val="00E336DA"/>
    <w:rsid w:val="00E33AF9"/>
    <w:rsid w:val="00E353CE"/>
    <w:rsid w:val="00E3605F"/>
    <w:rsid w:val="00E42291"/>
    <w:rsid w:val="00E43B8C"/>
    <w:rsid w:val="00E5002A"/>
    <w:rsid w:val="00E525DF"/>
    <w:rsid w:val="00E54BCC"/>
    <w:rsid w:val="00E559B5"/>
    <w:rsid w:val="00E56D74"/>
    <w:rsid w:val="00E6045F"/>
    <w:rsid w:val="00E6092E"/>
    <w:rsid w:val="00E72C0B"/>
    <w:rsid w:val="00E73597"/>
    <w:rsid w:val="00E753C7"/>
    <w:rsid w:val="00E7685E"/>
    <w:rsid w:val="00E84041"/>
    <w:rsid w:val="00E852F7"/>
    <w:rsid w:val="00E90811"/>
    <w:rsid w:val="00E964B9"/>
    <w:rsid w:val="00EA0254"/>
    <w:rsid w:val="00EB146A"/>
    <w:rsid w:val="00EB46FF"/>
    <w:rsid w:val="00EC14EE"/>
    <w:rsid w:val="00EC21BD"/>
    <w:rsid w:val="00ED0273"/>
    <w:rsid w:val="00ED178A"/>
    <w:rsid w:val="00ED2D04"/>
    <w:rsid w:val="00ED2F65"/>
    <w:rsid w:val="00ED34E1"/>
    <w:rsid w:val="00ED374E"/>
    <w:rsid w:val="00EE162A"/>
    <w:rsid w:val="00EE37EB"/>
    <w:rsid w:val="00EE5893"/>
    <w:rsid w:val="00EF2E7F"/>
    <w:rsid w:val="00F01856"/>
    <w:rsid w:val="00F02CA6"/>
    <w:rsid w:val="00F061C8"/>
    <w:rsid w:val="00F133DE"/>
    <w:rsid w:val="00F13572"/>
    <w:rsid w:val="00F14702"/>
    <w:rsid w:val="00F14A9F"/>
    <w:rsid w:val="00F21C27"/>
    <w:rsid w:val="00F22B8F"/>
    <w:rsid w:val="00F23CC5"/>
    <w:rsid w:val="00F243BD"/>
    <w:rsid w:val="00F278B9"/>
    <w:rsid w:val="00F3261B"/>
    <w:rsid w:val="00F349B3"/>
    <w:rsid w:val="00F36238"/>
    <w:rsid w:val="00F41290"/>
    <w:rsid w:val="00F56691"/>
    <w:rsid w:val="00F6746A"/>
    <w:rsid w:val="00F70BA3"/>
    <w:rsid w:val="00F75098"/>
    <w:rsid w:val="00F76EC5"/>
    <w:rsid w:val="00F77F11"/>
    <w:rsid w:val="00F83CA7"/>
    <w:rsid w:val="00F84220"/>
    <w:rsid w:val="00F904BF"/>
    <w:rsid w:val="00F92513"/>
    <w:rsid w:val="00F92CBE"/>
    <w:rsid w:val="00F947A7"/>
    <w:rsid w:val="00F956DD"/>
    <w:rsid w:val="00F9585A"/>
    <w:rsid w:val="00F960FA"/>
    <w:rsid w:val="00F96524"/>
    <w:rsid w:val="00FA40C4"/>
    <w:rsid w:val="00FA4E76"/>
    <w:rsid w:val="00FB054C"/>
    <w:rsid w:val="00FB211D"/>
    <w:rsid w:val="00FB2D78"/>
    <w:rsid w:val="00FB3789"/>
    <w:rsid w:val="00FC4849"/>
    <w:rsid w:val="00FC5A8F"/>
    <w:rsid w:val="00FC5FF1"/>
    <w:rsid w:val="00FC76CE"/>
    <w:rsid w:val="00FC775A"/>
    <w:rsid w:val="00FD2C45"/>
    <w:rsid w:val="00FD38FB"/>
    <w:rsid w:val="00FD44B0"/>
    <w:rsid w:val="00FD4DEF"/>
    <w:rsid w:val="00FE29FD"/>
    <w:rsid w:val="00FE4832"/>
    <w:rsid w:val="00FF20AD"/>
    <w:rsid w:val="00FF6099"/>
    <w:rsid w:val="047E3583"/>
    <w:rsid w:val="2187578A"/>
    <w:rsid w:val="56B842CB"/>
    <w:rsid w:val="796F73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9"/>
    <w:pPr>
      <w:keepNext/>
      <w:keepLines/>
      <w:spacing w:before="10" w:after="10" w:line="360" w:lineRule="auto"/>
      <w:ind w:left="432"/>
      <w:outlineLvl w:val="0"/>
    </w:pPr>
    <w:rPr>
      <w:rFonts w:ascii="Calibri" w:hAnsi="Calibri" w:eastAsia="仿宋" w:cs="黑体"/>
      <w:b/>
      <w:bCs/>
      <w:kern w:val="44"/>
      <w:sz w:val="30"/>
      <w:szCs w:val="44"/>
    </w:rPr>
  </w:style>
  <w:style w:type="paragraph" w:styleId="3">
    <w:name w:val="heading 2"/>
    <w:basedOn w:val="1"/>
    <w:next w:val="1"/>
    <w:link w:val="1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4"/>
    <w:semiHidden/>
    <w:unhideWhenUsed/>
    <w:qFormat/>
    <w:uiPriority w:val="9"/>
    <w:pPr>
      <w:keepNext/>
      <w:keepLines/>
      <w:spacing w:before="260" w:after="260" w:line="416" w:lineRule="auto"/>
      <w:outlineLvl w:val="2"/>
    </w:pPr>
    <w:rPr>
      <w:b/>
      <w:bCs/>
      <w:sz w:val="32"/>
      <w:szCs w:val="32"/>
    </w:rPr>
  </w:style>
  <w:style w:type="character" w:default="1" w:styleId="11">
    <w:name w:val="Default Paragraph Font"/>
    <w:semiHidden/>
    <w:unhideWhenUsed/>
    <w:qFormat/>
    <w:uiPriority w:val="1"/>
  </w:style>
  <w:style w:type="table" w:default="1" w:styleId="13">
    <w:name w:val="Normal Table"/>
    <w:semiHidden/>
    <w:unhideWhenUsed/>
    <w:qFormat/>
    <w:uiPriority w:val="99"/>
    <w:tblPr>
      <w:tblLayout w:type="fixed"/>
      <w:tblCellMar>
        <w:top w:w="0" w:type="dxa"/>
        <w:left w:w="108" w:type="dxa"/>
        <w:bottom w:w="0" w:type="dxa"/>
        <w:right w:w="108" w:type="dxa"/>
      </w:tblCellMar>
    </w:tblPr>
  </w:style>
  <w:style w:type="paragraph" w:styleId="5">
    <w:name w:val="Body Text"/>
    <w:basedOn w:val="1"/>
    <w:next w:val="1"/>
    <w:link w:val="25"/>
    <w:unhideWhenUsed/>
    <w:qFormat/>
    <w:uiPriority w:val="99"/>
    <w:rPr>
      <w:rFonts w:ascii="Calibri" w:hAnsi="Calibri" w:eastAsia="宋体" w:cs="Times New Roman"/>
      <w:szCs w:val="24"/>
    </w:rPr>
  </w:style>
  <w:style w:type="paragraph" w:styleId="6">
    <w:name w:val="Balloon Text"/>
    <w:basedOn w:val="1"/>
    <w:link w:val="21"/>
    <w:semiHidden/>
    <w:unhideWhenUsed/>
    <w:qFormat/>
    <w:uiPriority w:val="99"/>
    <w:rPr>
      <w:sz w:val="18"/>
      <w:szCs w:val="18"/>
    </w:rPr>
  </w:style>
  <w:style w:type="paragraph" w:styleId="7">
    <w:name w:val="footer"/>
    <w:basedOn w:val="1"/>
    <w:link w:val="17"/>
    <w:unhideWhenUsed/>
    <w:qFormat/>
    <w:uiPriority w:val="99"/>
    <w:pPr>
      <w:tabs>
        <w:tab w:val="center" w:pos="4153"/>
        <w:tab w:val="right" w:pos="8306"/>
      </w:tabs>
      <w:snapToGrid w:val="0"/>
      <w:jc w:val="left"/>
    </w:pPr>
    <w:rPr>
      <w:sz w:val="18"/>
      <w:szCs w:val="18"/>
    </w:rPr>
  </w:style>
  <w:style w:type="paragraph" w:styleId="8">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qFormat/>
    <w:uiPriority w:val="39"/>
    <w:pPr>
      <w:ind w:left="420" w:leftChars="200"/>
    </w:pPr>
  </w:style>
  <w:style w:type="character" w:styleId="12">
    <w:name w:val="Hyperlink"/>
    <w:basedOn w:val="11"/>
    <w:unhideWhenUsed/>
    <w:uiPriority w:val="99"/>
    <w:rPr>
      <w:color w:val="0563C1" w:themeColor="hyperlink"/>
      <w:u w:val="single"/>
      <w14:textFill>
        <w14:solidFill>
          <w14:schemeClr w14:val="hlink"/>
        </w14:solidFill>
      </w14:textFill>
    </w:rPr>
  </w:style>
  <w:style w:type="character" w:customStyle="1" w:styleId="14">
    <w:name w:val="标题 1 字符"/>
    <w:basedOn w:val="11"/>
    <w:link w:val="2"/>
    <w:qFormat/>
    <w:uiPriority w:val="9"/>
    <w:rPr>
      <w:rFonts w:ascii="Calibri" w:hAnsi="Calibri" w:eastAsia="仿宋" w:cs="黑体"/>
      <w:b/>
      <w:bCs/>
      <w:kern w:val="44"/>
      <w:sz w:val="30"/>
      <w:szCs w:val="44"/>
    </w:rPr>
  </w:style>
  <w:style w:type="character" w:customStyle="1" w:styleId="15">
    <w:name w:val="标题 2 字符"/>
    <w:basedOn w:val="11"/>
    <w:link w:val="3"/>
    <w:uiPriority w:val="9"/>
    <w:rPr>
      <w:rFonts w:asciiTheme="majorHAnsi" w:hAnsiTheme="majorHAnsi" w:eastAsiaTheme="majorEastAsia" w:cstheme="majorBidi"/>
      <w:b/>
      <w:bCs/>
      <w:sz w:val="32"/>
      <w:szCs w:val="32"/>
    </w:rPr>
  </w:style>
  <w:style w:type="character" w:customStyle="1" w:styleId="16">
    <w:name w:val="页眉 字符"/>
    <w:basedOn w:val="11"/>
    <w:link w:val="8"/>
    <w:qFormat/>
    <w:uiPriority w:val="99"/>
    <w:rPr>
      <w:sz w:val="18"/>
      <w:szCs w:val="18"/>
    </w:rPr>
  </w:style>
  <w:style w:type="character" w:customStyle="1" w:styleId="17">
    <w:name w:val="页脚 字符"/>
    <w:basedOn w:val="11"/>
    <w:link w:val="7"/>
    <w:qFormat/>
    <w:uiPriority w:val="99"/>
    <w:rPr>
      <w:sz w:val="18"/>
      <w:szCs w:val="18"/>
    </w:rPr>
  </w:style>
  <w:style w:type="paragraph" w:customStyle="1" w:styleId="18">
    <w:name w:val="列表段落1"/>
    <w:basedOn w:val="1"/>
    <w:link w:val="19"/>
    <w:qFormat/>
    <w:uiPriority w:val="34"/>
    <w:pPr>
      <w:ind w:firstLine="420" w:firstLineChars="200"/>
    </w:pPr>
    <w:rPr>
      <w:rFonts w:ascii="Times New Roman" w:hAnsi="Times New Roman" w:eastAsia="仿宋" w:cs="Times New Roman"/>
      <w:kern w:val="0"/>
      <w:sz w:val="32"/>
      <w:szCs w:val="20"/>
    </w:rPr>
  </w:style>
  <w:style w:type="character" w:customStyle="1" w:styleId="19">
    <w:name w:val="列表段落 字符"/>
    <w:link w:val="18"/>
    <w:qFormat/>
    <w:uiPriority w:val="34"/>
    <w:rPr>
      <w:rFonts w:ascii="Times New Roman" w:hAnsi="Times New Roman" w:eastAsia="仿宋" w:cs="Times New Roman"/>
      <w:kern w:val="0"/>
      <w:sz w:val="32"/>
      <w:szCs w:val="20"/>
    </w:rPr>
  </w:style>
  <w:style w:type="paragraph" w:customStyle="1" w:styleId="20">
    <w:name w:val="TOC Heading"/>
    <w:basedOn w:val="2"/>
    <w:next w:val="1"/>
    <w:unhideWhenUsed/>
    <w:qFormat/>
    <w:uiPriority w:val="39"/>
    <w:pPr>
      <w:widowControl/>
      <w:spacing w:before="240" w:after="0" w:line="259" w:lineRule="auto"/>
      <w:ind w:left="0"/>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1">
    <w:name w:val="批注框文本 字符"/>
    <w:basedOn w:val="11"/>
    <w:link w:val="6"/>
    <w:semiHidden/>
    <w:uiPriority w:val="99"/>
    <w:rPr>
      <w:sz w:val="18"/>
      <w:szCs w:val="18"/>
    </w:rPr>
  </w:style>
  <w:style w:type="paragraph" w:customStyle="1" w:styleId="22">
    <w:name w:val="Default"/>
    <w:qFormat/>
    <w:uiPriority w:val="0"/>
    <w:pPr>
      <w:widowControl w:val="0"/>
      <w:autoSpaceDE w:val="0"/>
      <w:autoSpaceDN w:val="0"/>
      <w:adjustRightInd w:val="0"/>
    </w:pPr>
    <w:rPr>
      <w:rFonts w:ascii="宋体" w:eastAsia="宋体" w:cs="宋体" w:hAnsiTheme="minorHAnsi"/>
      <w:color w:val="000000"/>
      <w:kern w:val="0"/>
      <w:sz w:val="24"/>
      <w:szCs w:val="24"/>
      <w:lang w:val="en-US" w:eastAsia="zh-CN" w:bidi="ar-SA"/>
    </w:rPr>
  </w:style>
  <w:style w:type="character" w:customStyle="1" w:styleId="23">
    <w:name w:val="NormalCharacter"/>
    <w:qFormat/>
    <w:uiPriority w:val="0"/>
  </w:style>
  <w:style w:type="character" w:customStyle="1" w:styleId="24">
    <w:name w:val="标题 3 字符"/>
    <w:basedOn w:val="11"/>
    <w:link w:val="4"/>
    <w:semiHidden/>
    <w:qFormat/>
    <w:uiPriority w:val="9"/>
    <w:rPr>
      <w:b/>
      <w:bCs/>
      <w:sz w:val="32"/>
      <w:szCs w:val="32"/>
    </w:rPr>
  </w:style>
  <w:style w:type="character" w:customStyle="1" w:styleId="25">
    <w:name w:val="正文文本 字符"/>
    <w:basedOn w:val="11"/>
    <w:link w:val="5"/>
    <w:qFormat/>
    <w:uiPriority w:val="99"/>
    <w:rPr>
      <w:rFonts w:ascii="Calibri" w:hAnsi="Calibri" w:eastAsia="宋体" w:cs="Times New Roman"/>
      <w:szCs w:val="24"/>
    </w:rPr>
  </w:style>
  <w:style w:type="paragraph" w:customStyle="1" w:styleId="26">
    <w:name w:val="Char Char Char1 Char"/>
    <w:basedOn w:val="2"/>
    <w:qFormat/>
    <w:uiPriority w:val="0"/>
    <w:pPr>
      <w:snapToGrid w:val="0"/>
      <w:spacing w:before="240" w:after="240" w:line="348" w:lineRule="auto"/>
      <w:ind w:left="0"/>
    </w:pPr>
    <w:rPr>
      <w:rFonts w:eastAsia="宋体" w:cs="Times New Roman"/>
      <w:sz w:val="4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D1796B-4ACE-4E75-93DF-DF70F9185115}">
  <ds:schemaRefs/>
</ds:datastoreItem>
</file>

<file path=docProps/app.xml><?xml version="1.0" encoding="utf-8"?>
<Properties xmlns="http://schemas.openxmlformats.org/officeDocument/2006/extended-properties" xmlns:vt="http://schemas.openxmlformats.org/officeDocument/2006/docPropsVTypes">
  <Template>Normal</Template>
  <Pages>7</Pages>
  <Words>280</Words>
  <Characters>1598</Characters>
  <Lines>13</Lines>
  <Paragraphs>3</Paragraphs>
  <TotalTime>3</TotalTime>
  <ScaleCrop>false</ScaleCrop>
  <LinksUpToDate>false</LinksUpToDate>
  <CharactersWithSpaces>1875</CharactersWithSpaces>
  <Application>WPS Office_10.1.0.7668_F1E327BC-269C-435d-A152-05C5408002CA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2021-03-30T09:14:00Z</dcterms:created>
  <dc:creator>微软用户</dc:creator>
  <cp:lastModifiedBy>西和</cp:lastModifiedBy>
  <cp:lastPrinted>2021-04-28T02:57:00Z</cp:lastPrinted>
  <dcterms:modified xsi:type="dcterms:W3CDTF">2021-04-30T06:23:36Z</dcterms:modified>
  <cp:revision>2951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2052-10.1.0.7668</vt:lpwstr>
  </property>
</Properties>
</file>