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1" w:after="0" w:afterAutospacing="1"/>
        <w:ind w:left="0" w:right="0" w:firstLine="640" w:firstLineChars="200"/>
        <w:jc w:val="center"/>
      </w:pPr>
      <w:r>
        <w:rPr>
          <w:rFonts w:ascii="仿宋" w:hAnsi="仿宋" w:eastAsia="仿宋" w:cs="仿宋"/>
          <w:kern w:val="2"/>
          <w:sz w:val="32"/>
          <w:szCs w:val="32"/>
          <w:lang w:val="en-US" w:eastAsia="zh-CN" w:bidi="ar"/>
        </w:rPr>
        <w:t>新府办发〔</w:t>
      </w:r>
      <w:r>
        <w:rPr>
          <w:rFonts w:hint="eastAsia" w:ascii="仿宋" w:hAnsi="仿宋" w:eastAsia="仿宋" w:cs="仿宋"/>
          <w:kern w:val="2"/>
          <w:sz w:val="32"/>
          <w:szCs w:val="32"/>
          <w:lang w:val="en-US" w:eastAsia="zh-CN" w:bidi="ar"/>
        </w:rPr>
        <w:t>2023〕4号</w:t>
      </w:r>
    </w:p>
    <w:p>
      <w:pPr>
        <w:pStyle w:val="4"/>
        <w:numPr>
          <w:numId w:val="0"/>
        </w:numPr>
        <w:bidi w:val="0"/>
        <w:spacing w:line="240" w:lineRule="auto"/>
        <w:ind w:leftChars="0"/>
        <w:jc w:val="center"/>
        <w:rPr>
          <w:rFonts w:hint="eastAsia" w:ascii="宋体" w:hAnsi="宋体" w:eastAsia="宋体" w:cs="宋体"/>
          <w:b/>
          <w:bCs/>
          <w:kern w:val="2"/>
          <w:sz w:val="44"/>
          <w:szCs w:val="44"/>
          <w:lang w:val="en-US" w:eastAsia="zh-CN" w:bidi="ar"/>
        </w:rPr>
      </w:pPr>
      <w:r>
        <w:rPr>
          <w:rFonts w:hint="eastAsia" w:ascii="宋体" w:hAnsi="宋体" w:eastAsia="宋体" w:cs="宋体"/>
          <w:b/>
          <w:bCs/>
          <w:kern w:val="2"/>
          <w:sz w:val="44"/>
          <w:szCs w:val="44"/>
          <w:lang w:val="en-US" w:eastAsia="zh-CN" w:bidi="ar"/>
        </w:rPr>
        <w:t> 南昌市新建区人民政府办公室</w:t>
      </w:r>
    </w:p>
    <w:p>
      <w:pPr>
        <w:pStyle w:val="4"/>
        <w:numPr>
          <w:numId w:val="0"/>
        </w:numPr>
        <w:bidi w:val="0"/>
        <w:spacing w:line="240" w:lineRule="auto"/>
        <w:ind w:leftChars="0"/>
        <w:jc w:val="center"/>
        <w:rPr>
          <w:rFonts w:hint="eastAsia" w:ascii="宋体" w:hAnsi="宋体" w:eastAsia="宋体" w:cs="宋体"/>
          <w:b/>
          <w:bCs/>
          <w:kern w:val="2"/>
          <w:sz w:val="44"/>
          <w:szCs w:val="44"/>
          <w:lang w:val="en-US" w:eastAsia="zh-CN" w:bidi="ar"/>
        </w:rPr>
      </w:pPr>
      <w:r>
        <w:rPr>
          <w:rFonts w:hint="eastAsia" w:ascii="宋体" w:hAnsi="宋体" w:eastAsia="宋体" w:cs="宋体"/>
          <w:b/>
          <w:bCs/>
          <w:kern w:val="2"/>
          <w:sz w:val="44"/>
          <w:szCs w:val="44"/>
          <w:lang w:val="en-US" w:eastAsia="zh-CN" w:bidi="ar"/>
        </w:rPr>
        <w:t>关于印发新建区“多规合一”业务协同平台</w:t>
      </w:r>
    </w:p>
    <w:p>
      <w:pPr>
        <w:pStyle w:val="4"/>
        <w:numPr>
          <w:numId w:val="0"/>
        </w:numPr>
        <w:bidi w:val="0"/>
        <w:spacing w:line="240" w:lineRule="auto"/>
        <w:ind w:leftChars="0"/>
        <w:jc w:val="center"/>
        <w:rPr>
          <w:rFonts w:hint="eastAsia" w:ascii="宋体" w:hAnsi="宋体" w:eastAsia="宋体" w:cs="宋体"/>
          <w:b/>
          <w:bCs/>
          <w:kern w:val="2"/>
          <w:sz w:val="44"/>
          <w:szCs w:val="44"/>
          <w:lang w:val="en-US" w:eastAsia="zh-CN" w:bidi="ar"/>
        </w:rPr>
      </w:pPr>
      <w:r>
        <w:rPr>
          <w:rFonts w:hint="eastAsia" w:ascii="宋体" w:hAnsi="宋体" w:eastAsia="宋体" w:cs="宋体"/>
          <w:b/>
          <w:bCs/>
          <w:kern w:val="2"/>
          <w:sz w:val="44"/>
          <w:szCs w:val="44"/>
          <w:lang w:val="en-US" w:eastAsia="zh-CN" w:bidi="ar"/>
        </w:rPr>
        <w:t>运行规则暂行办法的通知</w:t>
      </w:r>
    </w:p>
    <w:p>
      <w:pPr>
        <w:keepNext w:val="0"/>
        <w:keepLines w:val="0"/>
        <w:widowControl/>
        <w:suppressLineNumbers w:val="0"/>
        <w:spacing w:before="0" w:beforeAutospacing="1" w:after="0" w:afterAutospacing="1"/>
        <w:ind w:left="0" w:right="0"/>
        <w:jc w:val="left"/>
      </w:pPr>
      <w:r>
        <w:rPr>
          <w:rFonts w:hint="eastAsia" w:ascii="仿宋" w:hAnsi="仿宋" w:eastAsia="仿宋" w:cs="仿宋"/>
          <w:kern w:val="2"/>
          <w:sz w:val="32"/>
          <w:szCs w:val="32"/>
          <w:lang w:val="en-US" w:eastAsia="zh-CN" w:bidi="ar"/>
        </w:rPr>
        <w:t>各乡(镇)人民政府、开发区(园区)管委会、各街道办事处,区政府各部门,区直各单位:</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《新建区“多规合一”业务协同平台运行规则暂行办法》已经2023年区政府第1次常务会议研究同意,现印发给你们,请认真遵照执行。</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suppressLineNumbers w:val="0"/>
        <w:spacing w:before="0" w:beforeAutospacing="1" w:after="0" w:afterAutospacing="1"/>
        <w:ind w:left="0" w:right="0" w:firstLine="640"/>
        <w:jc w:val="right"/>
      </w:pPr>
      <w:r>
        <w:rPr>
          <w:rFonts w:hint="eastAsia" w:ascii="仿宋" w:hAnsi="仿宋" w:eastAsia="仿宋" w:cs="仿宋"/>
          <w:kern w:val="2"/>
          <w:sz w:val="32"/>
          <w:szCs w:val="32"/>
          <w:lang w:val="en-US" w:eastAsia="zh-CN" w:bidi="ar"/>
        </w:rPr>
        <w:t>                       2023年1月18日</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jc w:val="center"/>
      </w:pPr>
      <w:r>
        <w:rPr>
          <w:rFonts w:hint="eastAsia" w:ascii="宋体" w:hAnsi="宋体" w:eastAsia="宋体" w:cs="宋体"/>
          <w:b/>
          <w:bCs/>
          <w:kern w:val="2"/>
          <w:sz w:val="44"/>
          <w:szCs w:val="44"/>
          <w:lang w:val="en-US" w:eastAsia="zh-CN" w:bidi="ar"/>
        </w:rPr>
        <w:t>新建区“多规合一”业务协同平台运行规则暂行办法</w:t>
      </w:r>
    </w:p>
    <w:p>
      <w:pPr>
        <w:keepNext w:val="0"/>
        <w:keepLines w:val="0"/>
        <w:widowControl w:val="0"/>
        <w:suppressLineNumbers w:val="0"/>
        <w:autoSpaceDE w:val="0"/>
        <w:autoSpaceDN/>
        <w:spacing w:before="0" w:beforeAutospacing="1" w:after="0" w:afterAutospacing="1"/>
        <w:ind w:left="0" w:right="0"/>
        <w:jc w:val="center"/>
      </w:pPr>
      <w:r>
        <w:rPr>
          <w:rFonts w:ascii="黑体" w:hAnsi="宋体" w:eastAsia="黑体" w:cs="黑体"/>
          <w:b w:val="0"/>
          <w:bCs w:val="0"/>
          <w:kern w:val="2"/>
          <w:sz w:val="32"/>
          <w:szCs w:val="32"/>
          <w:lang w:val="en-US" w:eastAsia="zh-CN" w:bidi="ar"/>
        </w:rPr>
        <w:t>第一章</w:t>
      </w:r>
      <w:r>
        <w:rPr>
          <w:rFonts w:hint="eastAsia" w:ascii="黑体" w:hAnsi="宋体" w:eastAsia="黑体" w:cs="黑体"/>
          <w:b w:val="0"/>
          <w:bCs w:val="0"/>
          <w:kern w:val="2"/>
          <w:sz w:val="32"/>
          <w:szCs w:val="32"/>
          <w:lang w:val="en-US" w:eastAsia="zh-CN" w:bidi="ar"/>
        </w:rPr>
        <w:t xml:space="preserve"> 总则</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第一条</w:t>
      </w:r>
      <w:r>
        <w:rPr>
          <w:rFonts w:hint="eastAsia" w:ascii="仿宋" w:hAnsi="仿宋" w:eastAsia="仿宋" w:cs="仿宋"/>
          <w:kern w:val="2"/>
          <w:sz w:val="32"/>
          <w:szCs w:val="32"/>
          <w:lang w:val="en-US" w:eastAsia="zh-CN" w:bidi="ar"/>
        </w:rPr>
        <w:t> 为全面推动城市发展和政府决策从“以项目为中心”逐步向“以规划为中心”转变,从源头解决用地选址、房屋征迁、管线迁改、调规报批等项目生成难点问题,建立项目策划生成和业务协同工作机制,科学有序推进项目建设,将项目涉及用地问题的涉及相关审批职能、管理职能的各部门依托业务协同平台参与项目策划生成,各部门由线下单向沟通变线上业务协同作业,充分交换项目信息和部门意见,统筹协调策划项目的建设空间位置、建设要求和条件等关键性要素,完成项目空间协调,促进“项目生成”。为项目后续简化审批程序、提高审批效率、加快审批速度创造条件。根据《国务院办公厅关于全面开展工程建设项目审批制度改革的实施意见》(国办发〔2019〕11号)、《江西省人民政府关于全面开展工程建设项目审批制度改革实施方案》(赣办发〔2019〕42号)《南昌市人民政府办公厅关于印发南昌市工程建设项目生成管理办法(试行)的通知》(洪府厅发〔2020〕17号)等文件精神和规定,结合本区实际情况,制定本办法。</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第二条</w:t>
      </w:r>
      <w:r>
        <w:rPr>
          <w:rFonts w:hint="eastAsia" w:ascii="仿宋" w:hAnsi="仿宋" w:eastAsia="仿宋" w:cs="仿宋"/>
          <w:kern w:val="2"/>
          <w:sz w:val="32"/>
          <w:szCs w:val="32"/>
          <w:lang w:val="en-US" w:eastAsia="zh-CN" w:bidi="ar"/>
        </w:rPr>
        <w:t> 本办法适用于新建区辖区内新建、改扩建项目的生成“多规合一”业务协同平台运行。根据项目的审批方式和供地方式,分为划拨用地项目和出让用地项目。</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已经依法取得国有土地使用权的,可不纳入项目生成管理范畴。需上报国家、省、市审批的工程建设项目按其有关规定执行。</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第三条</w:t>
      </w:r>
      <w:r>
        <w:rPr>
          <w:rFonts w:hint="eastAsia" w:ascii="仿宋" w:hAnsi="仿宋" w:eastAsia="仿宋" w:cs="仿宋"/>
          <w:kern w:val="2"/>
          <w:sz w:val="32"/>
          <w:szCs w:val="32"/>
          <w:lang w:val="en-US" w:eastAsia="zh-CN" w:bidi="ar"/>
        </w:rPr>
        <w:t> 新建区“办理建筑许可”指标营商环境工作领导小组负责建设项目生成管理工作的统筹协调和监督实施,区发改委、区资源规划局负责“多规合一”业务协同平台运行。</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各乡(镇)政府(含开发区、园区、管理处、街道,下同)和区直相关部门依照本办法负责建设项目生成管理的具体工作。</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第四条</w:t>
      </w:r>
      <w:r>
        <w:rPr>
          <w:rFonts w:hint="eastAsia" w:ascii="仿宋" w:hAnsi="仿宋" w:eastAsia="仿宋" w:cs="仿宋"/>
          <w:kern w:val="2"/>
          <w:sz w:val="32"/>
          <w:szCs w:val="32"/>
          <w:lang w:val="en-US" w:eastAsia="zh-CN" w:bidi="ar"/>
        </w:rPr>
        <w:t> 建设项目生成管理工作依托南昌市“多规合一”业务协同平台(以下简称“业务协同平台”)运行。由区资源规划局牵头,征集下一年度拟组织实施的项目,编制年度项目空间实施计划,构建项目储备库。并通过业务协同平台汇总综合区直有关部门对项目可行性研究、立项、建设条件、行政审批(许可)等事项论证的意见和建议,建立项目生成库。</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区直相关部门在业务协同平台的项目生成论证意见和建议作为项目可行性研究、立项、建设条件、行政审批(许可)等事项的重要依据,后续办理相关手续时,原则上不得与项目生成论证的意见和建议相抵触。</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未按规定时间和要求,提供下一年度拟组织实施的项目,不得在项目生成“体外循环”,区直有关部门可不受理项目可行性研究、立项、建设条件、行政审批(许可)条件等事项。</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第五条</w:t>
      </w:r>
      <w:r>
        <w:rPr>
          <w:rFonts w:hint="eastAsia" w:ascii="仿宋" w:hAnsi="仿宋" w:eastAsia="仿宋" w:cs="仿宋"/>
          <w:kern w:val="2"/>
          <w:sz w:val="32"/>
          <w:szCs w:val="32"/>
          <w:lang w:val="en-US" w:eastAsia="zh-CN" w:bidi="ar"/>
        </w:rPr>
        <w:t> 经项目生成论证进入项目生成库的,应优先列入区委、区政府年度组织实施重大重点项目、年度国民经济社会发展计划、土地征收和农用地转用报批计划、征地拆迁计划、立项、建设行政审批(许可)等。两年内未启动实施的,退回项目储备库。</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项目业主单位必须优先组织实施项目生成库的项目,原则上不得修改已经策划生成项目用地的有关条件及其相关规划。</w:t>
      </w:r>
    </w:p>
    <w:p>
      <w:pPr>
        <w:keepNext w:val="0"/>
        <w:keepLines w:val="0"/>
        <w:widowControl w:val="0"/>
        <w:suppressLineNumbers w:val="0"/>
        <w:autoSpaceDE w:val="0"/>
        <w:autoSpaceDN/>
        <w:spacing w:before="0" w:beforeAutospacing="1" w:after="0" w:afterAutospacing="1"/>
        <w:ind w:left="0" w:right="0"/>
        <w:jc w:val="center"/>
      </w:pPr>
      <w:r>
        <w:rPr>
          <w:rFonts w:hint="eastAsia" w:ascii="黑体" w:hAnsi="宋体" w:eastAsia="黑体" w:cs="黑体"/>
          <w:kern w:val="2"/>
          <w:sz w:val="32"/>
          <w:szCs w:val="32"/>
          <w:lang w:val="en-US" w:eastAsia="zh-CN" w:bidi="ar"/>
        </w:rPr>
        <w:t>第二章 工作职责</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第六条</w:t>
      </w:r>
      <w:r>
        <w:rPr>
          <w:rFonts w:hint="eastAsia" w:ascii="仿宋" w:hAnsi="仿宋" w:eastAsia="仿宋" w:cs="仿宋"/>
          <w:kern w:val="2"/>
          <w:sz w:val="32"/>
          <w:szCs w:val="32"/>
          <w:lang w:val="en-US" w:eastAsia="zh-CN" w:bidi="ar"/>
        </w:rPr>
        <w:t> 区发改委:针对区级财政投资的划拨类项目、区重大重点推进项目提出审查意见。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区资源规划局:核实项目预选址是否符合国土空间规划、是否符合集约节约用地要求、是否涉及永久基本农田和生态保护红线,是否压覆区级发证采矿权,是否需要进行地质灾害危险性评估,并提出意见。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区林业局:核实是否涉及使用林地审批,是否涉及湿地、自然保护区,并提出意见。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区政数局:梳理项目审批事项清单。</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区财政局:核实政府投资项目资金来源,针对划拨类项目提出经区财政承受能力论证后的资金筹措、资金保障等意见。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区住建局:对项目涉及的建筑节能、装配式、海绵城市管理、消防设计、人防审批等提出意见,对商品住宅项目是否需要房屋限价,提出销售、转让等方面提出意见。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区水利局:核实项目预选址是否在河湖及水利工程划界管理范围内(含保护范围),以及是否落实水土保持“三同时”制度,提出意见。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区生态环境局:核实项目预选址是否符合生态环境保护要求以及项目地块权属人是否需要开展土壤污染状况调查工作,提出意见。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区交通运输局:核实规划区外的项目预选址是否符合铁路、公路等的建设退让要求,针对规划区外公路、铁路、航运、规划区内交通枢纽客运站场等项目提出意见。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区文广新旅局:核实项目预选址是否涉及历史文物和特定区域,是否需要进行考古,提出意见。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区营商服务中心:核实产业项目是否符合相关招商政策,是否启动项目的招商引资,提出意见。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区应急管理局:对涉及危化品的特殊行业项目预选址提出意见。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区卫健委:针对医疗卫生类用地项目进行审查,提出意见。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区教体局:针对教育、体育类用地项目进行审查,提出意见。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区气象局:核实项目预选址是否处于南昌国家天气雷达站气象探测环境保护范围内,提出气象探测环境保护限制海拔高度等意见。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区城管执法局:核实项目预选址是否涉及排水、供水、污水管网改造。</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区燃气公司、供电分公司、供水公司:核实项目预选址位置是否涉及管线迁改,并提出意见。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各乡(镇)政府:核实是否同意预选址意见,地块是否完成征收,提出土地房屋征收补偿大致范围及估算标准、地上物清表、配套设施管理等情况提出意见。</w:t>
      </w:r>
    </w:p>
    <w:p>
      <w:pPr>
        <w:keepNext w:val="0"/>
        <w:keepLines w:val="0"/>
        <w:widowControl w:val="0"/>
        <w:suppressLineNumbers w:val="0"/>
        <w:autoSpaceDE w:val="0"/>
        <w:autoSpaceDN/>
        <w:spacing w:before="0" w:beforeAutospacing="1" w:after="0" w:afterAutospacing="1"/>
        <w:ind w:left="0" w:right="0"/>
        <w:jc w:val="center"/>
      </w:pPr>
      <w:r>
        <w:rPr>
          <w:rFonts w:hint="eastAsia" w:ascii="黑体" w:hAnsi="宋体" w:eastAsia="黑体" w:cs="黑体"/>
          <w:kern w:val="2"/>
          <w:sz w:val="32"/>
          <w:szCs w:val="32"/>
          <w:lang w:val="en-US" w:eastAsia="zh-CN" w:bidi="ar"/>
        </w:rPr>
        <w:t>第三章 划拨用地项目生成</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第七条</w:t>
      </w:r>
      <w:r>
        <w:rPr>
          <w:rFonts w:hint="eastAsia" w:ascii="仿宋" w:hAnsi="仿宋" w:eastAsia="仿宋" w:cs="仿宋"/>
          <w:kern w:val="2"/>
          <w:sz w:val="32"/>
          <w:szCs w:val="32"/>
          <w:lang w:val="en-US" w:eastAsia="zh-CN" w:bidi="ar"/>
        </w:rPr>
        <w:t> 划拨用地项目包括区级政府投资划拨用地项目和其他投资划拨用地项目。</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第八条</w:t>
      </w:r>
      <w:r>
        <w:rPr>
          <w:rFonts w:hint="eastAsia" w:ascii="仿宋" w:hAnsi="仿宋" w:eastAsia="仿宋" w:cs="仿宋"/>
          <w:kern w:val="2"/>
          <w:sz w:val="32"/>
          <w:szCs w:val="32"/>
          <w:lang w:val="en-US" w:eastAsia="zh-CN" w:bidi="ar"/>
        </w:rPr>
        <w:t> 划拨用地项目生成流程。</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(一)项目策划</w:t>
      </w:r>
      <w:r>
        <w:rPr>
          <w:rFonts w:hint="eastAsia" w:ascii="仿宋" w:hAnsi="仿宋" w:eastAsia="仿宋" w:cs="仿宋"/>
          <w:b w:val="0"/>
          <w:bCs w:val="0"/>
          <w:kern w:val="2"/>
          <w:sz w:val="32"/>
          <w:szCs w:val="32"/>
          <w:lang w:val="en-US" w:eastAsia="zh-CN" w:bidi="ar"/>
        </w:rPr>
        <w:t>。</w:t>
      </w:r>
      <w:r>
        <w:rPr>
          <w:rFonts w:hint="eastAsia" w:ascii="仿宋" w:hAnsi="仿宋" w:eastAsia="仿宋" w:cs="仿宋"/>
          <w:kern w:val="2"/>
          <w:sz w:val="32"/>
          <w:szCs w:val="32"/>
          <w:lang w:val="en-US" w:eastAsia="zh-CN" w:bidi="ar"/>
        </w:rPr>
        <w:t>由区资源规划局在当年的11月份征集各乡(镇)政府、区直有关部门、区属平台公司、行业主管部门拟组织实施的项目,聘请有资质单位编制下一年度项目年度空间实施计划,进入项目生成储备库。涉及区本级财政投资划拨用地的,发送区发改委核实项目预选址意向、初步建设规模及内容、投资计划安排后,发送区资源规划分局启动项目论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属其他投资划拨用地的,由行业主管部门或者项目业主单位直接在项目生成业务协同平台申报。</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(二)项目论证</w:t>
      </w:r>
      <w:r>
        <w:rPr>
          <w:rFonts w:hint="eastAsia" w:ascii="仿宋" w:hAnsi="仿宋" w:eastAsia="仿宋" w:cs="仿宋"/>
          <w:b w:val="0"/>
          <w:bCs w:val="0"/>
          <w:kern w:val="2"/>
          <w:sz w:val="32"/>
          <w:szCs w:val="32"/>
          <w:lang w:val="en-US" w:eastAsia="zh-CN" w:bidi="ar"/>
        </w:rPr>
        <w:t>。</w:t>
      </w:r>
      <w:r>
        <w:rPr>
          <w:rFonts w:hint="eastAsia" w:ascii="仿宋" w:hAnsi="仿宋" w:eastAsia="仿宋" w:cs="仿宋"/>
          <w:kern w:val="2"/>
          <w:sz w:val="32"/>
          <w:szCs w:val="32"/>
          <w:lang w:val="en-US" w:eastAsia="zh-CN" w:bidi="ar"/>
        </w:rPr>
        <w:t>行业主管部门或者项目业主单位在项目生成业务协同平台项目储备库中填报项目基本信息(包括项目预选址的用地矢量文件、初步建设内容及规模、资金来源、建设计划等内容),发送区资源规划局开展内部论证后,发送有关乡(镇)和区直相关部门开展建设条件论证,并提出项目建设的意见和建议。</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区辖区内的市级财政投资划拨用地项目,由区资源规划分局牵头、有关乡(镇)和区直有关部门在业务协同平台完成审查后,由区资源规划分局汇总,综合区直有关部门意见后,形成初审意见,报市自然资源和规划局。</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(三)规划预选址</w:t>
      </w:r>
      <w:r>
        <w:rPr>
          <w:rFonts w:hint="eastAsia" w:ascii="仿宋" w:hAnsi="仿宋" w:eastAsia="仿宋" w:cs="仿宋"/>
          <w:kern w:val="2"/>
          <w:sz w:val="32"/>
          <w:szCs w:val="32"/>
          <w:lang w:val="en-US" w:eastAsia="zh-CN" w:bidi="ar"/>
        </w:rPr>
        <w:t>。区资源规划分局受理后,15个工作日内提出项目规划、预选址、用地规模、建设内容及条件、行政审批(许可)条件等的论证意见和建议。</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(四)项目论证</w:t>
      </w:r>
      <w:r>
        <w:rPr>
          <w:rFonts w:hint="eastAsia" w:ascii="仿宋" w:hAnsi="仿宋" w:eastAsia="仿宋" w:cs="仿宋"/>
          <w:kern w:val="2"/>
          <w:sz w:val="32"/>
          <w:szCs w:val="32"/>
          <w:lang w:val="en-US" w:eastAsia="zh-CN" w:bidi="ar"/>
        </w:rPr>
        <w:t>。有关乡(镇)和区直相关部门在业务协同平台受理的15个工作日内,提出项目建设条件、行政审批(许可)条件的意见和建议。</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涉及城市重点地段和生态敏感区域的项目,相关部门应加强前期研究论证,其规划预选址和建设条件核实时限可适当延长,原则上最长不超过30个工作日。 </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(五)项目生成</w:t>
      </w:r>
      <w:r>
        <w:rPr>
          <w:rFonts w:hint="eastAsia" w:ascii="仿宋" w:hAnsi="仿宋" w:eastAsia="仿宋" w:cs="仿宋"/>
          <w:kern w:val="2"/>
          <w:sz w:val="32"/>
          <w:szCs w:val="32"/>
          <w:lang w:val="en-US" w:eastAsia="zh-CN" w:bidi="ar"/>
        </w:rPr>
        <w:t>。区资源规划分局应在10个工作日内汇总综合有关乡(镇)和区直相关部门的论证意见和建议,核实项目建设条件、行政审批(许可)条件后,发送区发改委报区政府审议。</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属区本级政府投资划拨用地的,由区发改委按相关规定报区政府批准后,进入项目生成库。属其他投资划拨用地的,直接进入项目生成库。</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项目生成后应明确项目名称、项目业主单位、预选址及用地规模、建设内容及规模、建设模式、投资估算、资金来源、建设条件、行政审批(许可)条件等内容。未通过区直相关部门论证的项目,应退回至项目储备库并说明原因。</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(六)项目变更</w:t>
      </w:r>
      <w:r>
        <w:rPr>
          <w:rFonts w:hint="eastAsia" w:ascii="仿宋" w:hAnsi="仿宋" w:eastAsia="仿宋" w:cs="仿宋"/>
          <w:kern w:val="2"/>
          <w:sz w:val="32"/>
          <w:szCs w:val="32"/>
          <w:lang w:val="en-US" w:eastAsia="zh-CN" w:bidi="ar"/>
        </w:rPr>
        <w:t>。项目生成后,预选址、建设内容及规模等发生重大变更的,重新按上述流程论证。</w:t>
      </w:r>
    </w:p>
    <w:p>
      <w:pPr>
        <w:keepNext w:val="0"/>
        <w:keepLines w:val="0"/>
        <w:widowControl w:val="0"/>
        <w:suppressLineNumbers w:val="0"/>
        <w:autoSpaceDE w:val="0"/>
        <w:autoSpaceDN/>
        <w:spacing w:before="0" w:beforeAutospacing="1" w:after="0" w:afterAutospacing="1"/>
        <w:ind w:left="0" w:right="0"/>
        <w:jc w:val="center"/>
      </w:pPr>
      <w:r>
        <w:rPr>
          <w:rFonts w:hint="eastAsia" w:ascii="黑体" w:hAnsi="宋体" w:eastAsia="黑体" w:cs="黑体"/>
          <w:kern w:val="2"/>
          <w:sz w:val="32"/>
          <w:szCs w:val="32"/>
          <w:lang w:val="en-US" w:eastAsia="zh-CN" w:bidi="ar"/>
        </w:rPr>
        <w:t>第四章 出让用地项目生成</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第九条</w:t>
      </w:r>
      <w:r>
        <w:rPr>
          <w:rFonts w:hint="eastAsia" w:ascii="仿宋" w:hAnsi="仿宋" w:eastAsia="仿宋" w:cs="仿宋"/>
          <w:kern w:val="2"/>
          <w:sz w:val="32"/>
          <w:szCs w:val="32"/>
          <w:lang w:val="en-US" w:eastAsia="zh-CN" w:bidi="ar"/>
        </w:rPr>
        <w:t> 出让用地项目包括通过公开出让的经营性用地项目和工业和仓储物流用地项目(下称“工业项目”)。</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第十条</w:t>
      </w:r>
      <w:r>
        <w:rPr>
          <w:rFonts w:hint="eastAsia" w:ascii="仿宋" w:hAnsi="仿宋" w:eastAsia="仿宋" w:cs="仿宋"/>
          <w:kern w:val="2"/>
          <w:sz w:val="32"/>
          <w:szCs w:val="32"/>
          <w:lang w:val="en-US" w:eastAsia="zh-CN" w:bidi="ar"/>
        </w:rPr>
        <w:t> 经营性用地项目生成通过制定年度出让计划进行管理。</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第十一条</w:t>
      </w:r>
      <w:r>
        <w:rPr>
          <w:rFonts w:hint="eastAsia" w:ascii="仿宋" w:hAnsi="仿宋" w:eastAsia="仿宋" w:cs="仿宋"/>
          <w:kern w:val="2"/>
          <w:sz w:val="32"/>
          <w:szCs w:val="32"/>
          <w:lang w:val="en-US" w:eastAsia="zh-CN" w:bidi="ar"/>
        </w:rPr>
        <w:t> 经营性用地项目生成流程:</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(一)计划草案提出</w:t>
      </w:r>
      <w:r>
        <w:rPr>
          <w:rFonts w:hint="eastAsia" w:ascii="仿宋" w:hAnsi="仿宋" w:eastAsia="仿宋" w:cs="仿宋"/>
          <w:kern w:val="2"/>
          <w:sz w:val="32"/>
          <w:szCs w:val="32"/>
          <w:lang w:val="en-US" w:eastAsia="zh-CN" w:bidi="ar"/>
        </w:rPr>
        <w:t>。由区资源规划分局牵头,会同有关乡(镇)和行业主管部门,根据国民经济与社会发展规划、土地市场需求、设施承载力分析和重要区域及重点地段城市设计,于当年12月底前,提出下一年度经营性用地出让计划(草案),编制经营性用地项目年度空间实施规划(建议稿),进入项目储备库。</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(二)空间实施规划制定</w:t>
      </w:r>
      <w:r>
        <w:rPr>
          <w:rFonts w:hint="eastAsia" w:ascii="仿宋" w:hAnsi="仿宋" w:eastAsia="仿宋" w:cs="仿宋"/>
          <w:kern w:val="2"/>
          <w:sz w:val="32"/>
          <w:szCs w:val="32"/>
          <w:lang w:val="en-US" w:eastAsia="zh-CN" w:bidi="ar"/>
        </w:rPr>
        <w:t>。区资源规划分局应将经营性用地项目年度空间实施规划(建议稿),发送有关乡(镇)和区直相关部门论证用地预选址及规模、建设条件、行政审批(许可)条件,有关乡(镇)和区直相关部门在20个工作日内提出审核意见。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区资源规划分局10个工作日内汇总综合有关乡(镇)和区直相关部门意见和建议,形成经营性用地项目年度空间实施计划。</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(三)计划报批</w:t>
      </w:r>
      <w:r>
        <w:rPr>
          <w:rFonts w:hint="eastAsia" w:ascii="仿宋" w:hAnsi="仿宋" w:eastAsia="仿宋" w:cs="仿宋"/>
          <w:kern w:val="2"/>
          <w:sz w:val="32"/>
          <w:szCs w:val="32"/>
          <w:lang w:val="en-US" w:eastAsia="zh-CN" w:bidi="ar"/>
        </w:rPr>
        <w:t>。区资源规划分局补正完善经营性用地项目年度出让计划(草案),按程序报区政府批准。</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(四)计划下达</w:t>
      </w:r>
      <w:r>
        <w:rPr>
          <w:rFonts w:hint="eastAsia" w:ascii="仿宋" w:hAnsi="仿宋" w:eastAsia="仿宋" w:cs="仿宋"/>
          <w:kern w:val="2"/>
          <w:sz w:val="32"/>
          <w:szCs w:val="32"/>
          <w:lang w:val="en-US" w:eastAsia="zh-CN" w:bidi="ar"/>
        </w:rPr>
        <w:t>。区资源规划分局在区政府批准后10个工作日内,正式下达经营性用地年度出让计划。</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经营性用地年度出让计划应明确地块名称、规划设计条件、出让条件、拟出让时间、前期工作分工、前期工作完成时限、前期工作责任部门等内容。</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(五)计划实施</w:t>
      </w:r>
      <w:r>
        <w:rPr>
          <w:rFonts w:hint="eastAsia" w:ascii="仿宋" w:hAnsi="仿宋" w:eastAsia="仿宋" w:cs="仿宋"/>
          <w:kern w:val="2"/>
          <w:sz w:val="32"/>
          <w:szCs w:val="32"/>
          <w:lang w:val="en-US" w:eastAsia="zh-CN" w:bidi="ar"/>
        </w:rPr>
        <w:t>。区资源规划分局会同有关乡(镇),按经营性用地年度出让计划,在规定时限内完成出让方案制定、净地出让等前期工作,并按程序组织方案报批。</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(六)计划增补</w:t>
      </w:r>
      <w:r>
        <w:rPr>
          <w:rFonts w:hint="eastAsia" w:ascii="仿宋" w:hAnsi="仿宋" w:eastAsia="仿宋" w:cs="仿宋"/>
          <w:kern w:val="2"/>
          <w:sz w:val="32"/>
          <w:szCs w:val="32"/>
          <w:lang w:val="en-US" w:eastAsia="zh-CN" w:bidi="ar"/>
        </w:rPr>
        <w:t>。未列入经营性用地年度出让计划的,经区政府研究确定可作为计划外新增项目组织出让的,由项目责任部门商区资源规划分局按上述程序启动项目计划增补。</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第十二条</w:t>
      </w:r>
      <w:r>
        <w:rPr>
          <w:rFonts w:hint="eastAsia" w:ascii="仿宋" w:hAnsi="仿宋" w:eastAsia="仿宋" w:cs="仿宋"/>
          <w:kern w:val="2"/>
          <w:sz w:val="32"/>
          <w:szCs w:val="32"/>
          <w:lang w:val="en-US" w:eastAsia="zh-CN" w:bidi="ar"/>
        </w:rPr>
        <w:t> 工业项目生成流程:</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(一)项目启动</w:t>
      </w:r>
      <w:r>
        <w:rPr>
          <w:rFonts w:hint="eastAsia" w:ascii="仿宋" w:hAnsi="仿宋" w:eastAsia="仿宋" w:cs="仿宋"/>
          <w:kern w:val="2"/>
          <w:sz w:val="32"/>
          <w:szCs w:val="32"/>
          <w:lang w:val="en-US" w:eastAsia="zh-CN" w:bidi="ar"/>
        </w:rPr>
        <w:t>。由有关乡(镇)或行业主管部门将有投资意向或者在谈的项目,在项目生成业务协同平台项目储备库中填报项目基本信息(包括项目预选址的用地矢量文件、产业类型、初步建设内容和规模及布局、资金来源、建设计划、供地方式等内容),进入项目储备库。</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(二)规划预选址</w:t>
      </w:r>
      <w:r>
        <w:rPr>
          <w:rFonts w:hint="eastAsia" w:ascii="仿宋" w:hAnsi="仿宋" w:eastAsia="仿宋" w:cs="仿宋"/>
          <w:kern w:val="2"/>
          <w:sz w:val="32"/>
          <w:szCs w:val="32"/>
          <w:lang w:val="en-US" w:eastAsia="zh-CN" w:bidi="ar"/>
        </w:rPr>
        <w:t>。区资源规划分局在受理后的15个工作日内提出项目预选址、规划、用地规模、建设条件、行政审批(许可)条件等的论证意见和建议。</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(三)建设条件论证</w:t>
      </w:r>
      <w:r>
        <w:rPr>
          <w:rFonts w:hint="eastAsia" w:ascii="仿宋" w:hAnsi="仿宋" w:eastAsia="仿宋" w:cs="仿宋"/>
          <w:kern w:val="2"/>
          <w:sz w:val="32"/>
          <w:szCs w:val="32"/>
          <w:lang w:val="en-US" w:eastAsia="zh-CN" w:bidi="ar"/>
        </w:rPr>
        <w:t>。有关乡(镇)和区直相关部门在业务协同平台受理的15个工作日内,提出项目建设条件、行政审批(许可)条件的意见和建议。</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涉及城市重点地段和生态敏感区域的项目,相关部门应加强前期研究论证,其规划预选址和建设条件核实时限可适当延长,原则上最长不超过30个工作日。 </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(四)项目生成</w:t>
      </w:r>
      <w:r>
        <w:rPr>
          <w:rFonts w:hint="eastAsia" w:ascii="仿宋" w:hAnsi="仿宋" w:eastAsia="仿宋" w:cs="仿宋"/>
          <w:kern w:val="2"/>
          <w:sz w:val="32"/>
          <w:szCs w:val="32"/>
          <w:lang w:val="en-US" w:eastAsia="zh-CN" w:bidi="ar"/>
        </w:rPr>
        <w:t>。区资源规划分局应在10个工作日内汇总综合有关乡(镇)和区直相关部门的论证意见和建议,核实项目建设条件、行政审批(许可)条件后,进入项目生成库。未通过有关乡镇和区直相关部门论证的,应退回项目储备库并说明原因。</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(五)出让方案制定和审查</w:t>
      </w:r>
      <w:r>
        <w:rPr>
          <w:rFonts w:hint="eastAsia" w:ascii="仿宋" w:hAnsi="仿宋" w:eastAsia="仿宋" w:cs="仿宋"/>
          <w:kern w:val="2"/>
          <w:sz w:val="32"/>
          <w:szCs w:val="32"/>
          <w:lang w:val="en-US" w:eastAsia="zh-CN" w:bidi="ar"/>
        </w:rPr>
        <w:t>。项目生成库中建设条件成熟的,由属地乡(镇)向区政府提出用地申请,区资源规划分局编制出让方案,按程序报区政府批准后委托交易。</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第十三条</w:t>
      </w:r>
      <w:r>
        <w:rPr>
          <w:rFonts w:hint="eastAsia" w:ascii="仿宋" w:hAnsi="仿宋" w:eastAsia="仿宋" w:cs="仿宋"/>
          <w:kern w:val="2"/>
          <w:sz w:val="32"/>
          <w:szCs w:val="32"/>
          <w:lang w:val="en-US" w:eastAsia="zh-CN" w:bidi="ar"/>
        </w:rPr>
        <w:t> 区营商服务中心应优先将项目生成库中的工业项目报区产业发展领导小组决策。有关乡(镇)或行业主管部门应根据区产业发展领导小组决策,优先组织实施项目生成库中的工业项目。</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第十四条</w:t>
      </w:r>
      <w:r>
        <w:rPr>
          <w:rFonts w:hint="eastAsia" w:ascii="仿宋" w:hAnsi="仿宋" w:eastAsia="仿宋" w:cs="仿宋"/>
          <w:kern w:val="2"/>
          <w:sz w:val="32"/>
          <w:szCs w:val="32"/>
          <w:lang w:val="en-US" w:eastAsia="zh-CN" w:bidi="ar"/>
        </w:rPr>
        <w:t>  区委、区政府研究确定实施或者其他特殊紧急新增的项目,由行业主管部门或者项目业主单位依据相关文件的要求,商区发改委同意后,按上述程序启动项目生成论证。</w:t>
      </w:r>
    </w:p>
    <w:p>
      <w:pPr>
        <w:keepNext w:val="0"/>
        <w:keepLines w:val="0"/>
        <w:widowControl w:val="0"/>
        <w:suppressLineNumbers w:val="0"/>
        <w:autoSpaceDE w:val="0"/>
        <w:autoSpaceDN/>
        <w:spacing w:before="0" w:beforeAutospacing="1" w:after="0" w:afterAutospacing="1"/>
        <w:ind w:left="0" w:right="0"/>
        <w:jc w:val="center"/>
      </w:pPr>
      <w:r>
        <w:rPr>
          <w:rFonts w:hint="eastAsia" w:ascii="黑体" w:hAnsi="宋体" w:eastAsia="黑体" w:cs="黑体"/>
          <w:kern w:val="2"/>
          <w:sz w:val="32"/>
          <w:szCs w:val="32"/>
          <w:lang w:val="en-US" w:eastAsia="zh-CN" w:bidi="ar"/>
        </w:rPr>
        <w:t>第五章 附则</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第十五条</w:t>
      </w:r>
      <w:r>
        <w:rPr>
          <w:rFonts w:hint="eastAsia" w:ascii="仿宋" w:hAnsi="仿宋" w:eastAsia="仿宋" w:cs="仿宋"/>
          <w:kern w:val="2"/>
          <w:sz w:val="32"/>
          <w:szCs w:val="32"/>
          <w:lang w:val="en-US" w:eastAsia="zh-CN" w:bidi="ar"/>
        </w:rPr>
        <w:t> 本办法由区资源规划分局负责解释。</w:t>
      </w:r>
    </w:p>
    <w:p>
      <w:pPr>
        <w:keepNext w:val="0"/>
        <w:keepLines w:val="0"/>
        <w:widowControl w:val="0"/>
        <w:suppressLineNumbers w:val="0"/>
        <w:autoSpaceDE w:val="0"/>
        <w:autoSpaceDN/>
        <w:spacing w:before="0" w:beforeAutospacing="1" w:after="0" w:afterAutospacing="1"/>
        <w:ind w:left="0" w:right="0" w:firstLine="643" w:firstLineChars="200"/>
        <w:jc w:val="left"/>
      </w:pPr>
      <w:r>
        <w:rPr>
          <w:rFonts w:hint="eastAsia" w:ascii="仿宋" w:hAnsi="仿宋" w:eastAsia="仿宋" w:cs="仿宋"/>
          <w:b/>
          <w:bCs/>
          <w:kern w:val="2"/>
          <w:sz w:val="32"/>
          <w:szCs w:val="32"/>
          <w:lang w:val="en-US" w:eastAsia="zh-CN" w:bidi="ar"/>
        </w:rPr>
        <w:t>第十六条</w:t>
      </w:r>
      <w:r>
        <w:rPr>
          <w:rFonts w:hint="eastAsia" w:ascii="仿宋" w:hAnsi="仿宋" w:eastAsia="仿宋" w:cs="仿宋"/>
          <w:kern w:val="2"/>
          <w:sz w:val="32"/>
          <w:szCs w:val="32"/>
          <w:lang w:val="en-US" w:eastAsia="zh-CN" w:bidi="ar"/>
        </w:rPr>
        <w:t> 本办法自公布之日起施行。</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638" w:leftChars="304" w:right="0" w:firstLine="0" w:firstLineChars="0"/>
        <w:jc w:val="left"/>
      </w:pPr>
      <w:r>
        <w:rPr>
          <w:rFonts w:hint="eastAsia" w:ascii="仿宋" w:hAnsi="仿宋" w:eastAsia="仿宋" w:cs="仿宋"/>
          <w:kern w:val="2"/>
          <w:sz w:val="32"/>
          <w:szCs w:val="32"/>
          <w:lang w:val="en-US" w:eastAsia="zh-CN" w:bidi="ar"/>
        </w:rPr>
        <w:t>附件：</w:t>
      </w:r>
      <w:r>
        <w:rPr>
          <w:rFonts w:hint="eastAsia" w:ascii="仿宋" w:hAnsi="仿宋" w:eastAsia="仿宋" w:cs="仿宋"/>
          <w:b/>
          <w:bCs/>
          <w:kern w:val="2"/>
          <w:sz w:val="32"/>
          <w:szCs w:val="32"/>
          <w:lang w:val="en-US" w:eastAsia="zh-CN" w:bidi="ar"/>
        </w:rPr>
        <w:t>1.</w:t>
      </w:r>
      <w:r>
        <w:rPr>
          <w:rFonts w:hint="eastAsia" w:ascii="仿宋" w:hAnsi="仿宋" w:eastAsia="仿宋" w:cs="仿宋"/>
          <w:kern w:val="2"/>
          <w:sz w:val="32"/>
          <w:szCs w:val="32"/>
          <w:lang w:val="en-US" w:eastAsia="zh-CN" w:bidi="ar"/>
        </w:rPr>
        <w:t>划拨用地项目生成流程图</w:t>
      </w:r>
    </w:p>
    <w:p>
      <w:pPr>
        <w:keepNext w:val="0"/>
        <w:keepLines w:val="0"/>
        <w:widowControl w:val="0"/>
        <w:suppressLineNumbers w:val="0"/>
        <w:autoSpaceDE w:val="0"/>
        <w:autoSpaceDN/>
        <w:spacing w:before="0" w:beforeAutospacing="1" w:after="0" w:afterAutospacing="1"/>
        <w:ind w:left="640" w:leftChars="305" w:right="0" w:firstLine="964" w:firstLineChars="300"/>
        <w:jc w:val="left"/>
      </w:pPr>
      <w:r>
        <w:rPr>
          <w:rFonts w:hint="eastAsia" w:ascii="仿宋" w:hAnsi="仿宋" w:eastAsia="仿宋" w:cs="仿宋"/>
          <w:b/>
          <w:bCs/>
          <w:kern w:val="2"/>
          <w:sz w:val="32"/>
          <w:szCs w:val="32"/>
          <w:lang w:val="en-US" w:eastAsia="zh-CN" w:bidi="ar"/>
        </w:rPr>
        <w:t>2.</w:t>
      </w:r>
      <w:r>
        <w:rPr>
          <w:rFonts w:hint="eastAsia" w:ascii="仿宋" w:hAnsi="仿宋" w:eastAsia="仿宋" w:cs="仿宋"/>
          <w:kern w:val="2"/>
          <w:sz w:val="32"/>
          <w:szCs w:val="32"/>
          <w:lang w:val="en-US" w:eastAsia="zh-CN" w:bidi="ar"/>
        </w:rPr>
        <w:t>经营性用地项目生成流程图</w:t>
      </w:r>
    </w:p>
    <w:p>
      <w:pPr>
        <w:keepNext w:val="0"/>
        <w:keepLines w:val="0"/>
        <w:widowControl w:val="0"/>
        <w:suppressLineNumbers w:val="0"/>
        <w:autoSpaceDE w:val="0"/>
        <w:autoSpaceDN/>
        <w:spacing w:before="0" w:beforeAutospacing="1" w:after="0" w:afterAutospacing="1"/>
        <w:ind w:left="640" w:leftChars="305" w:right="0" w:firstLine="964" w:firstLineChars="300"/>
        <w:jc w:val="left"/>
      </w:pPr>
      <w:r>
        <w:rPr>
          <w:rFonts w:hint="eastAsia" w:ascii="仿宋" w:hAnsi="仿宋" w:eastAsia="仿宋" w:cs="仿宋"/>
          <w:b/>
          <w:bCs/>
          <w:kern w:val="2"/>
          <w:sz w:val="32"/>
          <w:szCs w:val="32"/>
          <w:lang w:val="en-US" w:eastAsia="zh-CN" w:bidi="ar"/>
        </w:rPr>
        <w:t>3.</w:t>
      </w:r>
      <w:r>
        <w:rPr>
          <w:rFonts w:hint="eastAsia" w:ascii="仿宋" w:hAnsi="仿宋" w:eastAsia="仿宋" w:cs="仿宋"/>
          <w:kern w:val="2"/>
          <w:sz w:val="32"/>
          <w:szCs w:val="32"/>
          <w:lang w:val="en-US" w:eastAsia="zh-CN" w:bidi="ar"/>
        </w:rPr>
        <w:t>工业用地项目生成流程图</w:t>
      </w:r>
    </w:p>
    <w:p>
      <w:pPr>
        <w:keepNext w:val="0"/>
        <w:keepLines w:val="0"/>
        <w:widowControl w:val="0"/>
        <w:suppressLineNumbers w:val="0"/>
        <w:autoSpaceDE w:val="0"/>
        <w:autoSpaceDN/>
        <w:spacing w:before="0" w:beforeAutospacing="1" w:after="0" w:afterAutospacing="1"/>
        <w:ind w:left="640" w:leftChars="305" w:right="0" w:firstLine="964" w:firstLineChars="300"/>
        <w:jc w:val="left"/>
      </w:pPr>
      <w:r>
        <w:rPr>
          <w:rFonts w:hint="eastAsia" w:ascii="仿宋" w:hAnsi="仿宋" w:eastAsia="仿宋" w:cs="仿宋"/>
          <w:b/>
          <w:bCs/>
          <w:kern w:val="2"/>
          <w:sz w:val="32"/>
          <w:szCs w:val="32"/>
          <w:lang w:val="en-US" w:eastAsia="zh-CN" w:bidi="ar"/>
        </w:rPr>
        <w:t>4.</w:t>
      </w:r>
      <w:r>
        <w:rPr>
          <w:rFonts w:hint="eastAsia" w:ascii="仿宋" w:hAnsi="仿宋" w:eastAsia="仿宋" w:cs="仿宋"/>
          <w:kern w:val="2"/>
          <w:sz w:val="32"/>
          <w:szCs w:val="32"/>
          <w:lang w:val="en-US" w:eastAsia="zh-CN" w:bidi="ar"/>
        </w:rPr>
        <w:t>各部门联络人员名单</w:t>
      </w:r>
    </w:p>
    <w:p>
      <w:pPr>
        <w:keepNext w:val="0"/>
        <w:keepLines w:val="0"/>
        <w:widowControl/>
        <w:suppressLineNumbers w:val="0"/>
        <w:spacing w:before="0" w:beforeAutospacing="1" w:after="0" w:afterAutospacing="1"/>
        <w:ind w:left="640" w:right="0"/>
        <w:jc w:val="left"/>
      </w:pPr>
    </w:p>
    <w:p>
      <w:pPr>
        <w:keepNext w:val="0"/>
        <w:keepLines w:val="0"/>
        <w:widowControl/>
        <w:suppressLineNumbers w:val="0"/>
        <w:spacing w:before="0" w:beforeAutospacing="1" w:after="0" w:afterAutospacing="1"/>
        <w:ind w:left="640" w:right="0"/>
        <w:jc w:val="left"/>
      </w:pPr>
    </w:p>
    <w:p>
      <w:pPr>
        <w:keepNext w:val="0"/>
        <w:keepLines w:val="0"/>
        <w:widowControl/>
        <w:suppressLineNumbers w:val="0"/>
        <w:spacing w:before="0" w:beforeAutospacing="1" w:after="0" w:afterAutospacing="1"/>
        <w:ind w:left="640" w:right="0"/>
        <w:jc w:val="left"/>
      </w:pPr>
    </w:p>
    <w:p>
      <w:pPr>
        <w:keepNext w:val="0"/>
        <w:keepLines w:val="0"/>
        <w:widowControl/>
        <w:suppressLineNumbers w:val="0"/>
        <w:spacing w:before="0" w:beforeAutospacing="1" w:after="0" w:afterAutospacing="1"/>
        <w:ind w:left="640" w:right="0"/>
        <w:jc w:val="left"/>
      </w:pPr>
    </w:p>
    <w:p>
      <w:pPr>
        <w:keepNext w:val="0"/>
        <w:keepLines w:val="0"/>
        <w:widowControl/>
        <w:suppressLineNumbers w:val="0"/>
        <w:spacing w:before="0" w:beforeAutospacing="1" w:after="0" w:afterAutospacing="1"/>
        <w:ind w:left="640" w:right="0"/>
        <w:jc w:val="left"/>
      </w:pPr>
    </w:p>
    <w:p>
      <w:pPr>
        <w:keepNext w:val="0"/>
        <w:keepLines w:val="0"/>
        <w:widowControl/>
        <w:suppressLineNumbers w:val="0"/>
        <w:spacing w:before="0" w:beforeAutospacing="1" w:after="0" w:afterAutospacing="1"/>
        <w:ind w:left="640" w:right="0"/>
        <w:jc w:val="left"/>
      </w:pPr>
      <w:r>
        <w:rPr>
          <w:rFonts w:asciiTheme="minorHAnsi" w:hAnsiTheme="minorHAnsi" w:eastAsiaTheme="minorEastAsia" w:cstheme="minorBidi"/>
          <w:kern w:val="0"/>
          <w:sz w:val="24"/>
          <w:szCs w:val="24"/>
          <w:lang w:val="en-US" w:eastAsia="zh-CN" w:bidi="ar"/>
        </w:rPr>
        <w:t>   </w:t>
      </w:r>
      <w:bookmarkStart w:id="0" w:name="_GoBack"/>
      <w:r>
        <w:rPr>
          <w:rFonts w:hint="eastAsia" w:ascii="仿宋" w:hAnsi="仿宋" w:eastAsia="仿宋" w:cs="仿宋"/>
          <w:kern w:val="0"/>
          <w:sz w:val="32"/>
          <w:szCs w:val="32"/>
          <w:bdr w:val="none" w:color="auto" w:sz="0" w:space="0"/>
          <w:lang w:val="en-US" w:eastAsia="zh-CN" w:bidi="ar"/>
        </w:rPr>
        <w:drawing>
          <wp:inline distT="0" distB="0" distL="114300" distR="114300">
            <wp:extent cx="12868275" cy="7515225"/>
            <wp:effectExtent l="0" t="0" r="9525"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2868275" cy="7515225"/>
                    </a:xfrm>
                    <a:prstGeom prst="rect">
                      <a:avLst/>
                    </a:prstGeom>
                    <a:noFill/>
                    <a:ln w="9525">
                      <a:noFill/>
                    </a:ln>
                  </pic:spPr>
                </pic:pic>
              </a:graphicData>
            </a:graphic>
          </wp:inline>
        </w:drawing>
      </w:r>
      <w:bookmarkEnd w:id="0"/>
    </w:p>
    <w:p>
      <w:pPr>
        <w:keepNext w:val="0"/>
        <w:keepLines w:val="0"/>
        <w:widowControl/>
        <w:suppressLineNumbers w:val="0"/>
        <w:spacing w:before="0" w:beforeAutospacing="1" w:after="0" w:afterAutospacing="1"/>
        <w:ind w:left="640" w:right="0"/>
        <w:jc w:val="left"/>
      </w:pPr>
      <w:r>
        <w:rPr>
          <w:rFonts w:asciiTheme="minorHAnsi" w:hAnsiTheme="minorHAnsi" w:eastAsiaTheme="minorEastAsia" w:cstheme="minorBidi"/>
          <w:kern w:val="0"/>
          <w:sz w:val="24"/>
          <w:szCs w:val="24"/>
          <w:bdr w:val="none" w:color="auto" w:sz="0" w:space="0"/>
          <w:lang w:val="en-US" w:eastAsia="zh-CN" w:bidi="ar"/>
        </w:rPr>
        <w:drawing>
          <wp:inline distT="0" distB="0" distL="114300" distR="114300">
            <wp:extent cx="12744450" cy="73247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2744450" cy="732472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ind w:left="640" w:right="0"/>
        <w:jc w:val="left"/>
      </w:pPr>
      <w:r>
        <w:rPr>
          <w:rFonts w:asciiTheme="minorHAnsi" w:hAnsiTheme="minorHAnsi" w:eastAsiaTheme="minorEastAsia" w:cstheme="minorBidi"/>
          <w:kern w:val="0"/>
          <w:sz w:val="24"/>
          <w:szCs w:val="24"/>
          <w:bdr w:val="none" w:color="auto" w:sz="0" w:space="0"/>
          <w:lang w:val="en-US" w:eastAsia="zh-CN" w:bidi="ar"/>
        </w:rPr>
        <w:drawing>
          <wp:inline distT="0" distB="0" distL="114300" distR="114300">
            <wp:extent cx="12706350" cy="70008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12706350" cy="7000875"/>
                    </a:xfrm>
                    <a:prstGeom prst="rect">
                      <a:avLst/>
                    </a:prstGeom>
                    <a:noFill/>
                    <a:ln w="9525">
                      <a:noFill/>
                    </a:ln>
                  </pic:spPr>
                </pic:pic>
              </a:graphicData>
            </a:graphic>
          </wp:inline>
        </w:drawing>
      </w:r>
    </w:p>
    <w:p>
      <w:pPr>
        <w:tabs>
          <w:tab w:val="left" w:pos="420"/>
        </w:tabs>
        <w:rPr>
          <w:rFonts w:hint="eastAsia" w:ascii="仿宋" w:hAnsi="仿宋" w:eastAsia="仿宋" w:cs="仿宋"/>
          <w:b/>
          <w:bCs/>
          <w:kern w:val="2"/>
          <w:sz w:val="32"/>
          <w:szCs w:val="32"/>
          <w:lang w:val="en-US" w:eastAsia="zh-CN" w:bidi="ar"/>
        </w:rPr>
      </w:pPr>
      <w:r>
        <w:rPr>
          <w:rFonts w:hint="eastAsia" w:ascii="仿宋" w:hAnsi="仿宋" w:eastAsia="仿宋" w:cs="仿宋"/>
          <w:b/>
          <w:bCs/>
          <w:kern w:val="2"/>
          <w:sz w:val="32"/>
          <w:szCs w:val="32"/>
          <w:lang w:val="en-US" w:eastAsia="zh-CN" w:bidi="ar"/>
        </w:rPr>
        <w:br w:type="page"/>
      </w:r>
    </w:p>
    <w:p>
      <w:pPr>
        <w:keepNext w:val="0"/>
        <w:keepLines w:val="0"/>
        <w:widowControl w:val="0"/>
        <w:suppressLineNumbers w:val="0"/>
        <w:autoSpaceDE w:val="0"/>
        <w:autoSpaceDN/>
        <w:spacing w:before="0" w:beforeAutospacing="1" w:after="0" w:afterAutospacing="1"/>
        <w:ind w:left="0" w:right="0"/>
        <w:jc w:val="left"/>
      </w:pPr>
      <w:r>
        <w:rPr>
          <w:rFonts w:hint="eastAsia" w:ascii="仿宋" w:hAnsi="仿宋" w:eastAsia="仿宋" w:cs="仿宋"/>
          <w:b/>
          <w:bCs/>
          <w:kern w:val="2"/>
          <w:sz w:val="32"/>
          <w:szCs w:val="32"/>
          <w:lang w:val="en-US" w:eastAsia="zh-CN" w:bidi="ar"/>
        </w:rPr>
        <w:t>附件4</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jc w:val="center"/>
      </w:pPr>
      <w:r>
        <w:rPr>
          <w:rFonts w:hint="eastAsia" w:ascii="宋体" w:hAnsi="宋体" w:eastAsia="宋体" w:cs="宋体"/>
          <w:b/>
          <w:bCs/>
          <w:kern w:val="2"/>
          <w:sz w:val="44"/>
          <w:szCs w:val="44"/>
          <w:lang w:val="en-US" w:eastAsia="zh-CN" w:bidi="ar"/>
        </w:rPr>
        <w:t>各部门联络人员名单</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924"/>
        <w:gridCol w:w="1762"/>
        <w:gridCol w:w="1347"/>
        <w:gridCol w:w="1862"/>
        <w:gridCol w:w="247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080" w:type="dxa"/>
            <w:tcBorders>
              <w:top w:val="outset" w:color="000000" w:sz="6" w:space="0"/>
              <w:left w:val="outset" w:color="000000" w:sz="6" w:space="0"/>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序号</w:t>
            </w:r>
          </w:p>
        </w:tc>
        <w:tc>
          <w:tcPr>
            <w:tcW w:w="2955"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部门名称</w:t>
            </w:r>
          </w:p>
        </w:tc>
        <w:tc>
          <w:tcPr>
            <w:tcW w:w="2025"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分管领导</w:t>
            </w:r>
          </w:p>
        </w:tc>
        <w:tc>
          <w:tcPr>
            <w:tcW w:w="3180"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牵头科室/负责人</w:t>
            </w:r>
          </w:p>
        </w:tc>
        <w:tc>
          <w:tcPr>
            <w:tcW w:w="4545"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牵头科室经办人员/手机号码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080" w:type="dxa"/>
            <w:tcBorders>
              <w:top w:val="outset" w:color="000000" w:sz="6" w:space="0"/>
              <w:left w:val="outset" w:color="000000" w:sz="6" w:space="0"/>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1</w:t>
            </w:r>
          </w:p>
        </w:tc>
        <w:tc>
          <w:tcPr>
            <w:tcW w:w="2955"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 </w:t>
            </w:r>
          </w:p>
        </w:tc>
        <w:tc>
          <w:tcPr>
            <w:tcW w:w="2025"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 </w:t>
            </w:r>
          </w:p>
        </w:tc>
        <w:tc>
          <w:tcPr>
            <w:tcW w:w="3180"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 </w:t>
            </w:r>
          </w:p>
        </w:tc>
        <w:tc>
          <w:tcPr>
            <w:tcW w:w="4545"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1080" w:type="dxa"/>
            <w:tcBorders>
              <w:top w:val="outset" w:color="000000" w:sz="6" w:space="0"/>
              <w:left w:val="outset" w:color="000000" w:sz="6" w:space="0"/>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2</w:t>
            </w:r>
          </w:p>
        </w:tc>
        <w:tc>
          <w:tcPr>
            <w:tcW w:w="2955"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 </w:t>
            </w:r>
          </w:p>
        </w:tc>
        <w:tc>
          <w:tcPr>
            <w:tcW w:w="2025"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 </w:t>
            </w:r>
          </w:p>
        </w:tc>
        <w:tc>
          <w:tcPr>
            <w:tcW w:w="3180"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 </w:t>
            </w:r>
          </w:p>
        </w:tc>
        <w:tc>
          <w:tcPr>
            <w:tcW w:w="4545"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1080" w:type="dxa"/>
            <w:tcBorders>
              <w:top w:val="outset" w:color="000000" w:sz="6" w:space="0"/>
              <w:left w:val="outset" w:color="000000" w:sz="6" w:space="0"/>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3</w:t>
            </w:r>
          </w:p>
        </w:tc>
        <w:tc>
          <w:tcPr>
            <w:tcW w:w="2955"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 </w:t>
            </w:r>
          </w:p>
        </w:tc>
        <w:tc>
          <w:tcPr>
            <w:tcW w:w="2025"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 </w:t>
            </w:r>
          </w:p>
        </w:tc>
        <w:tc>
          <w:tcPr>
            <w:tcW w:w="3180"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 </w:t>
            </w:r>
          </w:p>
        </w:tc>
        <w:tc>
          <w:tcPr>
            <w:tcW w:w="4545" w:type="dxa"/>
            <w:tcBorders>
              <w:top w:val="outset" w:color="000000" w:sz="6" w:space="0"/>
              <w:left w:val="nil"/>
              <w:bottom w:val="outset" w:color="000000" w:sz="6" w:space="0"/>
              <w:right w:val="outset" w:color="000000" w:sz="6" w:space="0"/>
            </w:tcBorders>
            <w:shd w:val="clear"/>
            <w:vAlign w:val="top"/>
          </w:tcPr>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bdr w:val="none" w:color="auto" w:sz="0" w:space="0"/>
                <w:lang w:val="en-US" w:eastAsia="zh-CN" w:bidi="ar"/>
              </w:rPr>
              <w:t> </w:t>
            </w:r>
          </w:p>
        </w:tc>
      </w:tr>
    </w:tbl>
    <w:p>
      <w:pPr>
        <w:keepNext w:val="0"/>
        <w:keepLines w:val="0"/>
        <w:widowControl w:val="0"/>
        <w:suppressLineNumbers w:val="0"/>
        <w:autoSpaceDE w:val="0"/>
        <w:autoSpaceDN/>
        <w:spacing w:before="0" w:beforeAutospacing="1" w:after="0" w:afterAutospacing="1"/>
        <w:ind w:left="0" w:right="0"/>
        <w:jc w:val="left"/>
      </w:pPr>
      <w:r>
        <w:rPr>
          <w:rFonts w:hint="eastAsia" w:ascii="仿宋" w:hAnsi="仿宋" w:eastAsia="仿宋" w:cs="仿宋"/>
          <w:b/>
          <w:bCs/>
          <w:kern w:val="2"/>
          <w:sz w:val="32"/>
          <w:szCs w:val="32"/>
          <w:lang w:val="en-US" w:eastAsia="zh-CN" w:bidi="ar"/>
        </w:rPr>
        <w:t>               注:</w:t>
      </w:r>
      <w:r>
        <w:rPr>
          <w:rFonts w:hint="eastAsia" w:ascii="仿宋" w:hAnsi="仿宋" w:eastAsia="仿宋" w:cs="仿宋"/>
          <w:kern w:val="2"/>
          <w:sz w:val="32"/>
          <w:szCs w:val="32"/>
          <w:lang w:val="en-US" w:eastAsia="zh-CN" w:bidi="ar"/>
        </w:rPr>
        <w:t>须提供牵头科室经办人员的手机号码,以便业务协同平台短信通知项目转办情况。</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2"/>
          <w:sz w:val="21"/>
          <w:szCs w:val="21"/>
          <w:lang w:val="en-US" w:eastAsia="zh-CN" w:bidi="ar"/>
        </w:rPr>
        <w:t> </w:t>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B42B2"/>
    <w:multiLevelType w:val="multilevel"/>
    <w:tmpl w:val="FFFB42B2"/>
    <w:lvl w:ilvl="0" w:tentative="0">
      <w:start w:val="1"/>
      <w:numFmt w:val="decimal"/>
      <w:pStyle w:val="4"/>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DQwMmU0Y2MxNDg1MTBlM2FhZDVlNTBkMDYzNmYifQ=="/>
  </w:docVars>
  <w:rsids>
    <w:rsidRoot w:val="4F9B2DCA"/>
    <w:rsid w:val="1D6F09B8"/>
    <w:rsid w:val="1F4D5AC0"/>
    <w:rsid w:val="1FBF69EC"/>
    <w:rsid w:val="21E07116"/>
    <w:rsid w:val="230E6299"/>
    <w:rsid w:val="267F3AEF"/>
    <w:rsid w:val="273A7356"/>
    <w:rsid w:val="295F64CB"/>
    <w:rsid w:val="2C4628E4"/>
    <w:rsid w:val="2DEE7C76"/>
    <w:rsid w:val="2DFD0E52"/>
    <w:rsid w:val="2FF771DC"/>
    <w:rsid w:val="35DDA055"/>
    <w:rsid w:val="38F0DE5B"/>
    <w:rsid w:val="3B677859"/>
    <w:rsid w:val="3CD2E4EB"/>
    <w:rsid w:val="3D9F26C8"/>
    <w:rsid w:val="3DDB7BED"/>
    <w:rsid w:val="3FBDCFA4"/>
    <w:rsid w:val="3FEF6C9B"/>
    <w:rsid w:val="3FFBFF32"/>
    <w:rsid w:val="4F9B2DCA"/>
    <w:rsid w:val="4FF3ECBB"/>
    <w:rsid w:val="53F9FD13"/>
    <w:rsid w:val="5BEF26B5"/>
    <w:rsid w:val="5E7D3EE8"/>
    <w:rsid w:val="5EBFD41E"/>
    <w:rsid w:val="5ED4186E"/>
    <w:rsid w:val="5F7362A9"/>
    <w:rsid w:val="5FA9A185"/>
    <w:rsid w:val="5FD7BCFC"/>
    <w:rsid w:val="5FFF47B3"/>
    <w:rsid w:val="67FF028C"/>
    <w:rsid w:val="6FE7DFFD"/>
    <w:rsid w:val="6FF38E83"/>
    <w:rsid w:val="6FFABEFF"/>
    <w:rsid w:val="723052F4"/>
    <w:rsid w:val="76EF107F"/>
    <w:rsid w:val="77DDF2D7"/>
    <w:rsid w:val="77EDCF86"/>
    <w:rsid w:val="7AFA191B"/>
    <w:rsid w:val="7C6ECC91"/>
    <w:rsid w:val="7C7966FD"/>
    <w:rsid w:val="7CFE2517"/>
    <w:rsid w:val="7D5EA61F"/>
    <w:rsid w:val="7DBF5988"/>
    <w:rsid w:val="7DDCE20A"/>
    <w:rsid w:val="7DFF5D6E"/>
    <w:rsid w:val="7EBF2439"/>
    <w:rsid w:val="7EFBC33B"/>
    <w:rsid w:val="7F23CC37"/>
    <w:rsid w:val="7F341DB2"/>
    <w:rsid w:val="7FDBE6CE"/>
    <w:rsid w:val="7FDDE9F2"/>
    <w:rsid w:val="7FEB0902"/>
    <w:rsid w:val="7FEFB4BF"/>
    <w:rsid w:val="7FFEE8DE"/>
    <w:rsid w:val="8FBF2209"/>
    <w:rsid w:val="9BE39BB9"/>
    <w:rsid w:val="9BFFEB05"/>
    <w:rsid w:val="9E71547C"/>
    <w:rsid w:val="AF19A686"/>
    <w:rsid w:val="BAFC57BE"/>
    <w:rsid w:val="BB7F396E"/>
    <w:rsid w:val="BD79506B"/>
    <w:rsid w:val="BEB3C493"/>
    <w:rsid w:val="BEFB4F85"/>
    <w:rsid w:val="BF3BE1DE"/>
    <w:rsid w:val="BF5BEF1E"/>
    <w:rsid w:val="BF7D93A2"/>
    <w:rsid w:val="BF7FBB97"/>
    <w:rsid w:val="BFFD6AEF"/>
    <w:rsid w:val="C21ADA67"/>
    <w:rsid w:val="CBBC28A2"/>
    <w:rsid w:val="D49FE727"/>
    <w:rsid w:val="D6B7AA50"/>
    <w:rsid w:val="D7BD0CD1"/>
    <w:rsid w:val="D7FF6D5B"/>
    <w:rsid w:val="D9BD0A84"/>
    <w:rsid w:val="DAEE75CB"/>
    <w:rsid w:val="DBA1271F"/>
    <w:rsid w:val="DE7F992B"/>
    <w:rsid w:val="DEB856D5"/>
    <w:rsid w:val="DEF6D467"/>
    <w:rsid w:val="DEFFB563"/>
    <w:rsid w:val="DFF55464"/>
    <w:rsid w:val="DFF81EC4"/>
    <w:rsid w:val="DFFE6985"/>
    <w:rsid w:val="E4FA4DF7"/>
    <w:rsid w:val="E7FBD3C0"/>
    <w:rsid w:val="EEFE5EEB"/>
    <w:rsid w:val="EEFF5EFB"/>
    <w:rsid w:val="EF304680"/>
    <w:rsid w:val="EF5F14EF"/>
    <w:rsid w:val="F1BD08E7"/>
    <w:rsid w:val="F1E72C8F"/>
    <w:rsid w:val="F27B906B"/>
    <w:rsid w:val="F2EFBF42"/>
    <w:rsid w:val="F2FFE704"/>
    <w:rsid w:val="F3B3FE0E"/>
    <w:rsid w:val="F3FF13C5"/>
    <w:rsid w:val="F53F818B"/>
    <w:rsid w:val="F5FC8F37"/>
    <w:rsid w:val="F5FDA3DF"/>
    <w:rsid w:val="F75FE7B7"/>
    <w:rsid w:val="F77F2A5F"/>
    <w:rsid w:val="F97014D0"/>
    <w:rsid w:val="FAACAE2C"/>
    <w:rsid w:val="FADFF750"/>
    <w:rsid w:val="FBC4D401"/>
    <w:rsid w:val="FBE41E6A"/>
    <w:rsid w:val="FC3CB0F5"/>
    <w:rsid w:val="FC5FF81C"/>
    <w:rsid w:val="FD7FC0C8"/>
    <w:rsid w:val="FED71EE6"/>
    <w:rsid w:val="FFD5B2ED"/>
    <w:rsid w:val="FFD68E9C"/>
    <w:rsid w:val="FFDD2E4C"/>
    <w:rsid w:val="FFF632ED"/>
    <w:rsid w:val="FFFD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numPr>
        <w:ilvl w:val="0"/>
        <w:numId w:val="1"/>
      </w:numPr>
      <w:spacing w:before="340" w:after="330" w:line="578" w:lineRule="auto"/>
      <w:ind w:left="432" w:hanging="432"/>
      <w:outlineLvl w:val="0"/>
    </w:pPr>
    <w:rPr>
      <w:b/>
      <w:bCs/>
      <w:kern w:val="44"/>
      <w:sz w:val="44"/>
      <w:szCs w:val="44"/>
    </w:rPr>
  </w:style>
  <w:style w:type="paragraph" w:styleId="5">
    <w:name w:val="heading 2"/>
    <w:basedOn w:val="4"/>
    <w:next w:val="1"/>
    <w:unhideWhenUsed/>
    <w:qFormat/>
    <w:uiPriority w:val="9"/>
    <w:pPr>
      <w:numPr>
        <w:ilvl w:val="1"/>
      </w:numPr>
      <w:spacing w:before="260" w:after="260" w:line="416" w:lineRule="auto"/>
      <w:ind w:leftChars="200"/>
      <w:outlineLvl w:val="1"/>
    </w:pPr>
    <w:rPr>
      <w:rFonts w:asciiTheme="minorAscii" w:hAnsiTheme="minorAscii" w:cstheme="majorBidi"/>
      <w:b w:val="0"/>
      <w:bCs w:val="0"/>
      <w:sz w:val="32"/>
      <w:szCs w:val="32"/>
    </w:rPr>
  </w:style>
  <w:style w:type="paragraph" w:styleId="6">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720" w:leftChars="200" w:hanging="720"/>
      <w:outlineLvl w:val="2"/>
    </w:pPr>
    <w:rPr>
      <w:rFonts w:asciiTheme="minorAscii" w:hAnsiTheme="minorAscii"/>
      <w:b/>
      <w:sz w:val="32"/>
    </w:rPr>
  </w:style>
  <w:style w:type="paragraph" w:styleId="7">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8">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8">
    <w:name w:val="Default Paragraph Font"/>
    <w:semiHidden/>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w:next w:val="3"/>
    <w:qFormat/>
    <w:uiPriority w:val="0"/>
    <w:pPr>
      <w:ind w:firstLine="420" w:firstLineChars="100"/>
    </w:pPr>
    <w:rPr>
      <w:rFonts w:ascii="Times New Roman" w:hAnsi="Times New Roman" w:eastAsia="仿宋" w:cstheme="minorBidi"/>
      <w:sz w:val="28"/>
      <w:szCs w:val="22"/>
      <w:lang w:val="en-US" w:eastAsia="zh-CN" w:bidi="ar-SA"/>
    </w:rPr>
  </w:style>
  <w:style w:type="paragraph" w:styleId="3">
    <w:name w:val="Body Text"/>
    <w:basedOn w:val="1"/>
    <w:qFormat/>
    <w:uiPriority w:val="0"/>
    <w:pPr>
      <w:spacing w:after="120"/>
    </w:pPr>
  </w:style>
  <w:style w:type="paragraph" w:styleId="13">
    <w:name w:val="footer"/>
    <w:basedOn w:val="1"/>
    <w:uiPriority w:val="0"/>
    <w:pPr>
      <w:tabs>
        <w:tab w:val="center" w:pos="4153"/>
        <w:tab w:val="right" w:pos="8306"/>
      </w:tabs>
      <w:snapToGrid w:val="0"/>
      <w:jc w:val="left"/>
    </w:pPr>
    <w:rPr>
      <w:sz w:val="18"/>
    </w:rPr>
  </w:style>
  <w:style w:type="paragraph" w:styleId="1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Hyperlink"/>
    <w:basedOn w:val="1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5543</Words>
  <Characters>13499</Characters>
  <Lines>0</Lines>
  <Paragraphs>0</Paragraphs>
  <TotalTime>47</TotalTime>
  <ScaleCrop>false</ScaleCrop>
  <LinksUpToDate>false</LinksUpToDate>
  <CharactersWithSpaces>13516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2023-03-06T09:05:00Z</dcterms:created>
  <dc:creator>楠</dc:creator>
  <cp:lastModifiedBy>生活一直在跑调。</cp:lastModifiedBy>
  <dcterms:modified xsi:type="dcterms:W3CDTF">2023-07-21T02:12:05Z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7C015D811DA249D4817889A1846DD435_13</vt:lpwstr>
  </property>
</Properties>
</file>