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方正小标宋简体" w:hAnsi="方正小标宋简体" w:eastAsia="方正小标宋简体" w:cs="方正小标宋简体"/>
          <w:snapToGrid/>
          <w:kern w:val="21"/>
          <w:sz w:val="44"/>
          <w:szCs w:val="44"/>
          <w:lang w:eastAsia="zh-CN"/>
        </w:rPr>
      </w:pPr>
      <w:r>
        <w:rPr>
          <w:rFonts w:hint="eastAsia" w:ascii="方正小标宋简体" w:hAnsi="方正小标宋简体" w:eastAsia="方正小标宋简体" w:cs="方正小标宋简体"/>
          <w:snapToGrid/>
          <w:kern w:val="21"/>
          <w:sz w:val="44"/>
          <w:szCs w:val="44"/>
          <w:lang w:eastAsia="zh-CN"/>
        </w:rPr>
        <w:t>新建区人民医院2024年单位预算</w:t>
      </w:r>
    </w:p>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黑体" w:hAnsi="黑体" w:eastAsia="黑体" w:cs="黑体"/>
          <w:snapToGrid/>
          <w:kern w:val="21"/>
          <w:sz w:val="32"/>
          <w:szCs w:val="32"/>
          <w:lang w:eastAsia="zh-CN"/>
        </w:rPr>
      </w:pPr>
      <w:r>
        <w:rPr>
          <w:rFonts w:hint="eastAsia" w:ascii="黑体" w:hAnsi="黑体" w:eastAsia="黑体" w:cs="黑体"/>
          <w:b/>
          <w:bCs/>
          <w:snapToGrid/>
          <w:kern w:val="21"/>
          <w:sz w:val="32"/>
          <w:szCs w:val="32"/>
          <w:lang w:eastAsia="zh-CN"/>
        </w:rPr>
        <w:t>目 录</w:t>
      </w:r>
    </w:p>
    <w:p>
      <w:pPr>
        <w:widowControl w:val="0"/>
        <w:kinsoku/>
        <w:overflowPunct w:val="0"/>
        <w:topLinePunct/>
        <w:autoSpaceDE/>
        <w:autoSpaceDN/>
        <w:spacing w:line="540" w:lineRule="exact"/>
        <w:jc w:val="both"/>
        <w:rPr>
          <w:rFonts w:ascii="Times New Roman" w:hAnsi="Times New Roman" w:eastAsia="仿宋_GB2312" w:cs="Times New Roman"/>
          <w:snapToGrid/>
          <w:kern w:val="21"/>
          <w:sz w:val="32"/>
          <w:szCs w:val="32"/>
          <w:lang w:eastAsia="zh-CN"/>
        </w:rPr>
      </w:pP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第一部分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人民医院</w:t>
      </w:r>
      <w:r>
        <w:rPr>
          <w:rFonts w:ascii="Times New Roman" w:hAnsi="Times New Roman" w:eastAsia="仿宋_GB2312" w:cs="Times New Roman"/>
          <w:b/>
          <w:bCs/>
          <w:snapToGrid/>
          <w:kern w:val="21"/>
          <w:sz w:val="32"/>
          <w:szCs w:val="32"/>
          <w:lang w:eastAsia="zh-CN"/>
        </w:rPr>
        <w:t>概况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一、单位主要职责</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二、机构设置及人员情况</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第二部分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人民医院</w:t>
      </w:r>
      <w:r>
        <w:rPr>
          <w:rFonts w:ascii="Times New Roman" w:hAnsi="Times New Roman" w:eastAsia="仿宋_GB2312" w:cs="Times New Roman"/>
          <w:b/>
          <w:bCs/>
          <w:snapToGrid/>
          <w:kern w:val="21"/>
          <w:sz w:val="32"/>
          <w:szCs w:val="32"/>
          <w:lang w:eastAsia="zh-CN"/>
        </w:rPr>
        <w:t>2024年单位预算表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一、《收支预算总表》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二、《单位收入总表》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三、《单位支出总表》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四、《财政拨款收支总表》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五、《一般公共预算支出表》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六、《一般公共预算基本支出表》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七、《财政拨款“三公”经费支出表》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八、《政府性基金预算支出表》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九、《国有资本经营预算支出表》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十、《项目支出绩效目标表》</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第三部分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人民医院</w:t>
      </w:r>
      <w:r>
        <w:rPr>
          <w:rFonts w:ascii="Times New Roman" w:hAnsi="Times New Roman" w:eastAsia="仿宋_GB2312" w:cs="Times New Roman"/>
          <w:b/>
          <w:bCs/>
          <w:snapToGrid/>
          <w:kern w:val="21"/>
          <w:sz w:val="32"/>
          <w:szCs w:val="32"/>
          <w:lang w:eastAsia="zh-CN"/>
        </w:rPr>
        <w:t>2024年单位预算情况说明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一、2024年单位预算收支情况说明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二、2024年“三公”经费预算情况说明</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第四部分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名词解释</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kinsoku/>
        <w:autoSpaceDE/>
        <w:autoSpaceDN/>
        <w:adjustRightInd/>
        <w:snapToGrid/>
        <w:textAlignment w:val="auto"/>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br w:type="page"/>
      </w:r>
    </w:p>
    <w:p>
      <w:pPr>
        <w:widowControl w:val="0"/>
        <w:kinsoku/>
        <w:overflowPunct w:val="0"/>
        <w:topLinePunct/>
        <w:autoSpaceDE/>
        <w:autoSpaceDN/>
        <w:spacing w:line="560" w:lineRule="exact"/>
        <w:jc w:val="center"/>
        <w:rPr>
          <w:rFonts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第一部分 新建区人民医院概况</w:t>
      </w:r>
    </w:p>
    <w:p>
      <w:pPr>
        <w:widowControl w:val="0"/>
        <w:kinsoku/>
        <w:overflowPunct w:val="0"/>
        <w:topLinePunct/>
        <w:autoSpaceDE/>
        <w:autoSpaceDN/>
        <w:spacing w:line="560" w:lineRule="exact"/>
        <w:jc w:val="both"/>
        <w:outlineLvl w:val="1"/>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一、单位主要职责</w:t>
      </w:r>
    </w:p>
    <w:p>
      <w:pPr>
        <w:pStyle w:val="2"/>
        <w:widowControl w:val="0"/>
        <w:kinsoku/>
        <w:autoSpaceDE/>
        <w:autoSpaceDN/>
        <w:adjustRightInd/>
        <w:snapToGrid/>
        <w:spacing w:line="520" w:lineRule="exact"/>
        <w:ind w:firstLine="640" w:firstLineChars="200"/>
        <w:textAlignment w:val="auto"/>
        <w:rPr>
          <w:kern w:val="2"/>
          <w:sz w:val="32"/>
          <w:szCs w:val="32"/>
          <w:lang w:eastAsia="zh-CN"/>
        </w:rPr>
      </w:pPr>
      <w:r>
        <w:rPr>
          <w:rFonts w:hint="eastAsia"/>
          <w:kern w:val="2"/>
          <w:sz w:val="32"/>
          <w:szCs w:val="32"/>
          <w:lang w:eastAsia="zh-CN"/>
        </w:rPr>
        <w:t>1.全面完成区卫健委下达的各项目标任务，按照医保政策的要求，合理配备专职物价员，加强医疗服务价格管理，优化业务收入结构，进一步降低药占比、耗材占比及百元收入运行成本，开源节流，2024年业务收入增长率控制在10%以内。</w:t>
      </w:r>
    </w:p>
    <w:p>
      <w:pPr>
        <w:pStyle w:val="2"/>
        <w:widowControl w:val="0"/>
        <w:kinsoku/>
        <w:autoSpaceDE/>
        <w:autoSpaceDN/>
        <w:adjustRightInd/>
        <w:snapToGrid/>
        <w:spacing w:line="520" w:lineRule="exact"/>
        <w:ind w:firstLine="640" w:firstLineChars="200"/>
        <w:textAlignment w:val="auto"/>
        <w:rPr>
          <w:kern w:val="2"/>
          <w:sz w:val="32"/>
          <w:szCs w:val="32"/>
          <w:lang w:eastAsia="zh-CN"/>
        </w:rPr>
      </w:pPr>
      <w:r>
        <w:rPr>
          <w:rFonts w:hint="eastAsia"/>
          <w:kern w:val="2"/>
          <w:sz w:val="32"/>
          <w:szCs w:val="32"/>
          <w:lang w:eastAsia="zh-CN"/>
        </w:rPr>
        <w:t>2.业务科室继续开展新技术、新项目，拓宽业务范围，全方位提升医疗服务能力，为申报国家三级乙等综合医院夯实基础。</w:t>
      </w:r>
    </w:p>
    <w:p>
      <w:pPr>
        <w:pStyle w:val="2"/>
        <w:widowControl w:val="0"/>
        <w:kinsoku/>
        <w:autoSpaceDE/>
        <w:autoSpaceDN/>
        <w:adjustRightInd/>
        <w:snapToGrid/>
        <w:spacing w:line="520" w:lineRule="exact"/>
        <w:ind w:firstLine="640" w:firstLineChars="200"/>
        <w:textAlignment w:val="auto"/>
        <w:rPr>
          <w:kern w:val="2"/>
          <w:sz w:val="32"/>
          <w:szCs w:val="32"/>
          <w:lang w:eastAsia="zh-CN"/>
        </w:rPr>
      </w:pPr>
      <w:r>
        <w:rPr>
          <w:rFonts w:hint="eastAsia"/>
          <w:kern w:val="2"/>
          <w:sz w:val="32"/>
          <w:szCs w:val="32"/>
          <w:lang w:eastAsia="zh-CN"/>
        </w:rPr>
        <w:t>3.加强医院电子信息系统建设，优化就诊流程，开展云护理、线上预约挂号、报告单领取和退费服务，提升患者就医满意度。</w:t>
      </w:r>
    </w:p>
    <w:p>
      <w:pPr>
        <w:pStyle w:val="2"/>
        <w:widowControl w:val="0"/>
        <w:kinsoku/>
        <w:autoSpaceDE/>
        <w:autoSpaceDN/>
        <w:adjustRightInd/>
        <w:snapToGrid/>
        <w:spacing w:line="520" w:lineRule="exact"/>
        <w:ind w:firstLine="640" w:firstLineChars="200"/>
        <w:textAlignment w:val="auto"/>
        <w:rPr>
          <w:kern w:val="2"/>
          <w:sz w:val="32"/>
          <w:szCs w:val="32"/>
          <w:lang w:eastAsia="zh-CN"/>
        </w:rPr>
      </w:pPr>
      <w:r>
        <w:rPr>
          <w:rFonts w:hint="eastAsia"/>
          <w:kern w:val="2"/>
          <w:sz w:val="32"/>
          <w:szCs w:val="32"/>
          <w:lang w:eastAsia="zh-CN"/>
        </w:rPr>
        <w:t>4.严格执行药品、耗材、试剂招标采购政策，积极推进医保政策落地工作，做到合理用药、合理检查、合理收费，提升群众就医信任度。</w:t>
      </w:r>
    </w:p>
    <w:p>
      <w:pPr>
        <w:pStyle w:val="2"/>
        <w:widowControl w:val="0"/>
        <w:kinsoku/>
        <w:autoSpaceDE/>
        <w:autoSpaceDN/>
        <w:adjustRightInd/>
        <w:snapToGrid/>
        <w:spacing w:line="520" w:lineRule="exact"/>
        <w:ind w:firstLine="640" w:firstLineChars="200"/>
        <w:textAlignment w:val="auto"/>
        <w:rPr>
          <w:kern w:val="2"/>
          <w:sz w:val="28"/>
          <w:szCs w:val="28"/>
          <w:lang w:eastAsia="zh-CN"/>
        </w:rPr>
      </w:pPr>
      <w:r>
        <w:rPr>
          <w:rFonts w:hint="eastAsia"/>
          <w:kern w:val="2"/>
          <w:sz w:val="32"/>
          <w:szCs w:val="32"/>
          <w:lang w:eastAsia="zh-CN"/>
        </w:rPr>
        <w:t>5.贯彻卫生法规，完善防范措施，保证四项安全（医疗、财经、治安消防、信息），创建平安和谐医院。</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二、机构设置及人员情况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2024年新建区</w:t>
      </w:r>
      <w:r>
        <w:rPr>
          <w:rFonts w:hint="eastAsia" w:ascii="Times New Roman" w:hAnsi="Times New Roman" w:eastAsia="仿宋_GB2312" w:cs="Times New Roman"/>
          <w:snapToGrid/>
          <w:kern w:val="21"/>
          <w:sz w:val="32"/>
          <w:szCs w:val="32"/>
          <w:lang w:eastAsia="zh-CN"/>
        </w:rPr>
        <w:t>人民医院院</w:t>
      </w:r>
      <w:r>
        <w:rPr>
          <w:rFonts w:ascii="Times New Roman" w:hAnsi="Times New Roman" w:eastAsia="仿宋_GB2312" w:cs="Times New Roman"/>
          <w:snapToGrid/>
          <w:kern w:val="21"/>
          <w:sz w:val="32"/>
          <w:szCs w:val="32"/>
          <w:lang w:eastAsia="zh-CN"/>
        </w:rPr>
        <w:t>内设科室</w:t>
      </w:r>
      <w:r>
        <w:rPr>
          <w:rFonts w:hint="eastAsia" w:ascii="Times New Roman" w:hAnsi="Times New Roman" w:eastAsia="仿宋_GB2312" w:cs="Times New Roman"/>
          <w:snapToGrid/>
          <w:kern w:val="21"/>
          <w:sz w:val="32"/>
          <w:szCs w:val="32"/>
          <w:lang w:eastAsia="zh-CN"/>
        </w:rPr>
        <w:t>63</w:t>
      </w:r>
      <w:r>
        <w:rPr>
          <w:rFonts w:ascii="Times New Roman" w:hAnsi="Times New Roman" w:eastAsia="仿宋_GB2312" w:cs="Times New Roman"/>
          <w:snapToGrid/>
          <w:kern w:val="21"/>
          <w:sz w:val="32"/>
          <w:szCs w:val="32"/>
          <w:lang w:eastAsia="zh-CN"/>
        </w:rPr>
        <w:t>个，包括：</w:t>
      </w:r>
      <w:r>
        <w:rPr>
          <w:rFonts w:hint="eastAsia" w:cs="仿宋_GB2312"/>
          <w:spacing w:val="10"/>
          <w:sz w:val="32"/>
          <w:szCs w:val="32"/>
          <w:lang w:eastAsia="zh-CN"/>
        </w:rPr>
        <w:t>临床科室18个，医技科室13个，门诊部科室20个，行政职能科室12个。现有总人数999人，在岗808人（正式在编321人），退休191人，其中专业技术人员720人(高级职称56人，中级职称253人，初级职称382人),有硕士研究生19人。中共党员155人，其中预备党员2人，民主党派及无党派知联会等人士共41人。</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kinsoku/>
        <w:autoSpaceDE/>
        <w:autoSpaceDN/>
        <w:adjustRightInd/>
        <w:snapToGrid/>
        <w:textAlignment w:val="auto"/>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br w:type="page"/>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sectPr>
          <w:footerReference r:id="rId3" w:type="default"/>
          <w:pgSz w:w="11900" w:h="16830"/>
          <w:pgMar w:top="1417" w:right="1417" w:bottom="1417" w:left="1417" w:header="0" w:footer="1361" w:gutter="0"/>
          <w:pgNumType w:fmt="numberInDash"/>
          <w:cols w:space="720" w:num="1"/>
        </w:sectPr>
      </w:pPr>
    </w:p>
    <w:p>
      <w:pPr>
        <w:kinsoku/>
        <w:autoSpaceDE/>
        <w:autoSpaceDN/>
        <w:adjustRightInd/>
        <w:snapToGrid/>
        <w:textAlignment w:val="auto"/>
        <w:rPr>
          <w:rFonts w:ascii="仿宋" w:hAnsi="仿宋" w:eastAsia="仿宋" w:cs="仿宋_GB2312"/>
          <w:spacing w:val="10"/>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center"/>
        <w:rPr>
          <w:rFonts w:ascii="Times New Roman" w:hAnsi="Times New Roman" w:eastAsia="仿宋_GB2312" w:cs="Times New Roman"/>
          <w:snapToGrid/>
          <w:kern w:val="21"/>
          <w:sz w:val="32"/>
          <w:szCs w:val="32"/>
          <w:lang w:eastAsia="zh-CN"/>
        </w:rPr>
      </w:pPr>
      <w:r>
        <w:rPr>
          <w:rFonts w:hint="eastAsia" w:ascii="黑体" w:hAnsi="黑体" w:eastAsia="黑体" w:cs="黑体"/>
          <w:b/>
          <w:bCs/>
          <w:snapToGrid/>
          <w:kern w:val="21"/>
          <w:sz w:val="32"/>
          <w:szCs w:val="32"/>
          <w:lang w:eastAsia="zh-CN"/>
        </w:rPr>
        <w:t>第二部分 新建区人民医院2024年单位预算表</w:t>
      </w:r>
    </w:p>
    <w:p>
      <w:pPr>
        <w:widowControl w:val="0"/>
        <w:kinsoku/>
        <w:overflowPunct w:val="0"/>
        <w:topLinePunct/>
        <w:autoSpaceDE/>
        <w:autoSpaceDN/>
        <w:spacing w:line="560" w:lineRule="exact"/>
        <w:jc w:val="center"/>
        <w:rPr>
          <w:rFonts w:ascii="Times New Roman" w:hAnsi="Times New Roman" w:eastAsia="仿宋_GB2312" w:cs="Times New Roman"/>
          <w:snapToGrid/>
          <w:kern w:val="21"/>
          <w:sz w:val="32"/>
          <w:szCs w:val="32"/>
          <w:lang w:eastAsia="zh-CN"/>
        </w:rPr>
      </w:pPr>
    </w:p>
    <w:p>
      <w:pPr>
        <w:spacing w:before="44" w:line="190" w:lineRule="auto"/>
        <w:ind w:left="34"/>
        <w:rPr>
          <w:rFonts w:ascii="黑体" w:hAnsi="黑体" w:eastAsia="黑体" w:cs="黑体"/>
          <w:lang w:eastAsia="zh-CN"/>
        </w:rPr>
      </w:pPr>
      <w:r>
        <w:rPr>
          <w:rFonts w:ascii="黑体" w:hAnsi="黑体" w:eastAsia="黑体" w:cs="黑体"/>
          <w:spacing w:val="-4"/>
          <w:lang w:eastAsia="zh-CN"/>
        </w:rPr>
        <w:t>附件2-1:</w:t>
      </w:r>
    </w:p>
    <w:p>
      <w:pPr>
        <w:spacing w:before="103" w:line="184" w:lineRule="auto"/>
        <w:ind w:left="85"/>
        <w:rPr>
          <w:rFonts w:ascii="宋体" w:hAnsi="宋体" w:eastAsia="宋体" w:cs="宋体"/>
          <w:sz w:val="22"/>
          <w:szCs w:val="22"/>
          <w:lang w:eastAsia="zh-CN"/>
        </w:rPr>
      </w:pPr>
      <w:r>
        <w:rPr>
          <w:szCs w:val="29"/>
          <w:lang w:eastAsia="zh-CN"/>
        </w:rPr>
        <w:drawing>
          <wp:inline distT="0" distB="0" distL="0" distR="0">
            <wp:extent cx="9424035" cy="3028315"/>
            <wp:effectExtent l="19050" t="0" r="571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6" cstate="print"/>
                    <a:srcRect/>
                    <a:stretch>
                      <a:fillRect/>
                    </a:stretch>
                  </pic:blipFill>
                  <pic:spPr>
                    <a:xfrm>
                      <a:off x="0" y="0"/>
                      <a:ext cx="9424035" cy="3028837"/>
                    </a:xfrm>
                    <a:prstGeom prst="rect">
                      <a:avLst/>
                    </a:prstGeom>
                    <a:noFill/>
                    <a:ln w="9525">
                      <a:noFill/>
                      <a:miter lim="800000"/>
                      <a:headEnd/>
                      <a:tailEnd/>
                    </a:ln>
                  </pic:spPr>
                </pic:pic>
              </a:graphicData>
            </a:graphic>
          </wp:inline>
        </w:drawing>
      </w:r>
      <w:r>
        <w:rPr>
          <w:rFonts w:ascii="宋体" w:hAnsi="宋体" w:eastAsia="宋体" w:cs="宋体"/>
          <w:sz w:val="22"/>
          <w:szCs w:val="22"/>
          <w:lang w:eastAsia="zh-CN"/>
        </w:rPr>
        <w:t>注：由于本表中数据四舍五入原因，部分汇总数据与分项加总之和可能存在尾差</w:t>
      </w:r>
      <w:r>
        <w:rPr>
          <w:rFonts w:hint="eastAsia" w:ascii="宋体" w:hAnsi="宋体" w:eastAsia="宋体" w:cs="宋体"/>
          <w:sz w:val="22"/>
          <w:szCs w:val="22"/>
          <w:lang w:eastAsia="zh-CN"/>
        </w:rPr>
        <w:t>（</w:t>
      </w:r>
      <w:r>
        <w:rPr>
          <w:rFonts w:ascii="宋体" w:hAnsi="宋体" w:eastAsia="宋体" w:cs="宋体"/>
          <w:sz w:val="22"/>
          <w:szCs w:val="22"/>
          <w:lang w:eastAsia="zh-CN"/>
        </w:rPr>
        <w:t>下同</w:t>
      </w:r>
      <w:r>
        <w:rPr>
          <w:rFonts w:hint="eastAsia" w:ascii="宋体" w:hAnsi="宋体" w:eastAsia="宋体" w:cs="宋体"/>
          <w:sz w:val="22"/>
          <w:szCs w:val="22"/>
          <w:lang w:eastAsia="zh-CN"/>
        </w:rPr>
        <w:t>）</w:t>
      </w:r>
      <w:r>
        <w:rPr>
          <w:rFonts w:ascii="宋体" w:hAnsi="宋体" w:eastAsia="宋体" w:cs="宋体"/>
          <w:sz w:val="22"/>
          <w:szCs w:val="22"/>
          <w:lang w:eastAsia="zh-CN"/>
        </w:rPr>
        <w:t>。</w:t>
      </w:r>
    </w:p>
    <w:p>
      <w:pPr>
        <w:spacing w:line="184" w:lineRule="auto"/>
        <w:rPr>
          <w:rFonts w:ascii="宋体" w:hAnsi="宋体" w:eastAsia="宋体" w:cs="宋体"/>
          <w:sz w:val="22"/>
          <w:szCs w:val="22"/>
          <w:lang w:eastAsia="zh-CN"/>
        </w:rPr>
        <w:sectPr>
          <w:pgSz w:w="16830" w:h="11900"/>
          <w:pgMar w:top="1006" w:right="1104" w:bottom="400" w:left="884" w:header="0" w:footer="0" w:gutter="0"/>
          <w:pgNumType w:fmt="numberInDash"/>
          <w:cols w:equalWidth="0" w:num="1">
            <w:col w:w="14841"/>
          </w:cols>
          <w:docGrid w:linePitch="286" w:charSpace="0"/>
        </w:sectPr>
      </w:pPr>
    </w:p>
    <w:p>
      <w:pPr>
        <w:spacing w:before="185" w:line="224" w:lineRule="auto"/>
        <w:ind w:left="37" w:firstLine="319"/>
        <w:rPr>
          <w:rFonts w:ascii="黑体" w:hAnsi="黑体" w:eastAsia="黑体" w:cs="黑体"/>
          <w:sz w:val="17"/>
          <w:szCs w:val="17"/>
          <w:lang w:eastAsia="zh-CN"/>
        </w:rPr>
      </w:pPr>
      <w:r>
        <w:rPr>
          <w:rFonts w:ascii="黑体" w:hAnsi="黑体" w:eastAsia="黑体" w:cs="黑体"/>
          <w:b/>
          <w:bCs/>
          <w:spacing w:val="-11"/>
          <w:sz w:val="17"/>
          <w:szCs w:val="17"/>
          <w:lang w:eastAsia="zh-CN"/>
        </w:rPr>
        <w:t>附件2-2:</w:t>
      </w:r>
    </w:p>
    <w:p>
      <w:pPr>
        <w:ind w:firstLine="420"/>
        <w:rPr>
          <w:lang w:eastAsia="zh-CN"/>
        </w:rPr>
      </w:pPr>
    </w:p>
    <w:p>
      <w:pPr>
        <w:ind w:firstLine="420"/>
        <w:rPr>
          <w:lang w:eastAsia="zh-CN"/>
        </w:rPr>
        <w:sectPr>
          <w:pgSz w:w="16830" w:h="11900"/>
          <w:pgMar w:top="1011" w:right="1157" w:bottom="400" w:left="834" w:header="0" w:footer="850" w:gutter="0"/>
          <w:pgNumType w:fmt="numberInDash"/>
          <w:cols w:space="720" w:num="1"/>
        </w:sectPr>
      </w:pPr>
      <w:r>
        <w:rPr>
          <w:rFonts w:hint="eastAsia"/>
          <w:lang w:eastAsia="zh-CN"/>
        </w:rPr>
        <w:drawing>
          <wp:inline distT="0" distB="0" distL="0" distR="0">
            <wp:extent cx="9410065" cy="4000500"/>
            <wp:effectExtent l="19050" t="0" r="1"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7" cstate="print"/>
                    <a:srcRect/>
                    <a:stretch>
                      <a:fillRect/>
                    </a:stretch>
                  </pic:blipFill>
                  <pic:spPr>
                    <a:xfrm>
                      <a:off x="0" y="0"/>
                      <a:ext cx="9422765" cy="4005629"/>
                    </a:xfrm>
                    <a:prstGeom prst="rect">
                      <a:avLst/>
                    </a:prstGeom>
                    <a:noFill/>
                    <a:ln w="9525">
                      <a:noFill/>
                      <a:miter lim="800000"/>
                      <a:headEnd/>
                      <a:tailEnd/>
                    </a:ln>
                  </pic:spPr>
                </pic:pic>
              </a:graphicData>
            </a:graphic>
          </wp:inline>
        </w:drawing>
      </w:r>
    </w:p>
    <w:p>
      <w:pPr>
        <w:spacing w:before="70" w:line="224" w:lineRule="auto"/>
        <w:ind w:left="25" w:firstLine="432"/>
        <w:rPr>
          <w:rFonts w:ascii="黑体" w:hAnsi="黑体" w:eastAsia="黑体" w:cs="黑体"/>
          <w:sz w:val="22"/>
          <w:szCs w:val="22"/>
        </w:rPr>
      </w:pPr>
      <w:r>
        <w:rPr>
          <w:rFonts w:ascii="黑体" w:hAnsi="黑体" w:eastAsia="黑体" w:cs="黑体"/>
          <w:spacing w:val="-4"/>
          <w:sz w:val="22"/>
          <w:szCs w:val="22"/>
        </w:rPr>
        <w:t>附件2-3:</w:t>
      </w:r>
    </w:p>
    <w:p>
      <w:pPr>
        <w:ind w:firstLine="420"/>
        <w:rPr>
          <w:lang w:eastAsia="zh-CN"/>
        </w:rPr>
      </w:pPr>
    </w:p>
    <w:p>
      <w:pPr>
        <w:ind w:firstLine="420"/>
        <w:rPr>
          <w:lang w:eastAsia="zh-CN"/>
        </w:rPr>
        <w:sectPr>
          <w:pgSz w:w="16830" w:h="11900"/>
          <w:pgMar w:top="1011" w:right="1165" w:bottom="400" w:left="764" w:header="0" w:footer="850" w:gutter="0"/>
          <w:pgNumType w:fmt="numberInDash"/>
          <w:cols w:space="720" w:num="1"/>
        </w:sectPr>
      </w:pPr>
      <w:r>
        <w:rPr>
          <w:rFonts w:hint="eastAsia"/>
          <w:lang w:eastAsia="zh-CN"/>
        </w:rPr>
        <w:drawing>
          <wp:inline distT="0" distB="0" distL="0" distR="0">
            <wp:extent cx="9462135" cy="5991225"/>
            <wp:effectExtent l="19050" t="0" r="571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noChangeArrowheads="1"/>
                    </pic:cNvPicPr>
                  </pic:nvPicPr>
                  <pic:blipFill>
                    <a:blip r:embed="rId8" cstate="print"/>
                    <a:srcRect/>
                    <a:stretch>
                      <a:fillRect/>
                    </a:stretch>
                  </pic:blipFill>
                  <pic:spPr>
                    <a:xfrm>
                      <a:off x="0" y="0"/>
                      <a:ext cx="9462135" cy="5991225"/>
                    </a:xfrm>
                    <a:prstGeom prst="rect">
                      <a:avLst/>
                    </a:prstGeom>
                    <a:noFill/>
                    <a:ln w="9525">
                      <a:noFill/>
                      <a:miter lim="800000"/>
                      <a:headEnd/>
                      <a:tailEnd/>
                    </a:ln>
                  </pic:spPr>
                </pic:pic>
              </a:graphicData>
            </a:graphic>
          </wp:inline>
        </w:drawing>
      </w:r>
    </w:p>
    <w:p>
      <w:pPr>
        <w:spacing w:before="119" w:line="224" w:lineRule="auto"/>
        <w:ind w:left="85" w:firstLine="404"/>
        <w:rPr>
          <w:rFonts w:ascii="黑体" w:hAnsi="黑体" w:eastAsia="黑体" w:cs="黑体"/>
        </w:rPr>
      </w:pPr>
      <w:r>
        <w:rPr>
          <w:rFonts w:ascii="黑体" w:hAnsi="黑体" w:eastAsia="黑体" w:cs="黑体"/>
          <w:spacing w:val="-8"/>
        </w:rPr>
        <w:t>附件2-4:</w:t>
      </w:r>
    </w:p>
    <w:p>
      <w:pPr>
        <w:ind w:firstLine="420"/>
      </w:pPr>
    </w:p>
    <w:p>
      <w:pPr>
        <w:ind w:firstLine="420"/>
        <w:sectPr>
          <w:pgSz w:w="16990" w:h="12140"/>
          <w:pgMar w:top="1031" w:right="1179" w:bottom="400" w:left="935" w:header="0" w:footer="850" w:gutter="0"/>
          <w:pgNumType w:fmt="numberInDash"/>
          <w:cols w:space="720" w:num="1"/>
        </w:sectPr>
      </w:pPr>
      <w:r>
        <w:rPr>
          <w:lang w:eastAsia="zh-CN"/>
        </w:rPr>
        <w:drawing>
          <wp:inline distT="0" distB="0" distL="0" distR="0">
            <wp:extent cx="9446260" cy="1670685"/>
            <wp:effectExtent l="19050" t="0" r="254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9" cstate="print"/>
                    <a:srcRect/>
                    <a:stretch>
                      <a:fillRect/>
                    </a:stretch>
                  </pic:blipFill>
                  <pic:spPr>
                    <a:xfrm>
                      <a:off x="0" y="0"/>
                      <a:ext cx="9446260" cy="1671318"/>
                    </a:xfrm>
                    <a:prstGeom prst="rect">
                      <a:avLst/>
                    </a:prstGeom>
                    <a:noFill/>
                    <a:ln w="9525">
                      <a:noFill/>
                      <a:miter lim="800000"/>
                      <a:headEnd/>
                      <a:tailEnd/>
                    </a:ln>
                  </pic:spPr>
                </pic:pic>
              </a:graphicData>
            </a:graphic>
          </wp:inline>
        </w:drawing>
      </w:r>
    </w:p>
    <w:p>
      <w:pPr>
        <w:spacing w:before="47" w:line="224" w:lineRule="auto"/>
        <w:ind w:left="25" w:firstLine="452"/>
        <w:rPr>
          <w:rFonts w:ascii="黑体" w:hAnsi="黑体" w:eastAsia="黑体" w:cs="黑体"/>
          <w:spacing w:val="-4"/>
          <w:sz w:val="23"/>
          <w:szCs w:val="23"/>
          <w:lang w:eastAsia="zh-CN"/>
        </w:rPr>
      </w:pPr>
      <w:r>
        <w:rPr>
          <w:rFonts w:ascii="黑体" w:hAnsi="黑体" w:eastAsia="黑体" w:cs="黑体"/>
          <w:spacing w:val="-4"/>
          <w:sz w:val="23"/>
          <w:szCs w:val="23"/>
        </w:rPr>
        <w:t>附件2-5:</w:t>
      </w:r>
    </w:p>
    <w:p>
      <w:pPr>
        <w:spacing w:before="47" w:line="224" w:lineRule="auto"/>
        <w:ind w:left="25" w:firstLine="420"/>
        <w:rPr>
          <w:rFonts w:ascii="黑体" w:hAnsi="黑体" w:eastAsia="黑体" w:cs="黑体"/>
          <w:sz w:val="23"/>
          <w:szCs w:val="23"/>
          <w:lang w:eastAsia="zh-CN"/>
        </w:rPr>
      </w:pPr>
      <w:r>
        <w:rPr>
          <w:rFonts w:hint="eastAsia"/>
          <w:szCs w:val="23"/>
          <w:lang w:eastAsia="zh-CN"/>
        </w:rPr>
        <w:drawing>
          <wp:inline distT="0" distB="0" distL="0" distR="0">
            <wp:extent cx="9462135" cy="4344670"/>
            <wp:effectExtent l="19050" t="0" r="571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0" cstate="print"/>
                    <a:srcRect/>
                    <a:stretch>
                      <a:fillRect/>
                    </a:stretch>
                  </pic:blipFill>
                  <pic:spPr>
                    <a:xfrm>
                      <a:off x="0" y="0"/>
                      <a:ext cx="9462135" cy="4344953"/>
                    </a:xfrm>
                    <a:prstGeom prst="rect">
                      <a:avLst/>
                    </a:prstGeom>
                    <a:noFill/>
                    <a:ln w="9525">
                      <a:noFill/>
                      <a:miter lim="800000"/>
                      <a:headEnd/>
                      <a:tailEnd/>
                    </a:ln>
                  </pic:spPr>
                </pic:pic>
              </a:graphicData>
            </a:graphic>
          </wp:inline>
        </w:drawing>
      </w: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20"/>
        <w:rPr>
          <w:szCs w:val="23"/>
          <w:lang w:eastAsia="zh-CN"/>
        </w:rPr>
      </w:pPr>
    </w:p>
    <w:p>
      <w:pPr>
        <w:spacing w:before="157" w:line="224" w:lineRule="auto"/>
        <w:ind w:left="28" w:firstLine="438"/>
        <w:rPr>
          <w:rFonts w:ascii="黑体" w:hAnsi="黑体" w:eastAsia="黑体" w:cs="黑体"/>
          <w:sz w:val="23"/>
          <w:szCs w:val="23"/>
        </w:rPr>
      </w:pPr>
      <w:r>
        <w:rPr>
          <w:rFonts w:ascii="黑体" w:hAnsi="黑体" w:eastAsia="黑体" w:cs="黑体"/>
          <w:b/>
          <w:bCs/>
          <w:spacing w:val="-12"/>
          <w:sz w:val="23"/>
          <w:szCs w:val="23"/>
        </w:rPr>
        <w:t>附件2-6:</w:t>
      </w:r>
    </w:p>
    <w:p>
      <w:pPr>
        <w:ind w:firstLine="420"/>
        <w:rPr>
          <w:lang w:eastAsia="zh-CN"/>
        </w:rPr>
      </w:pPr>
    </w:p>
    <w:p>
      <w:pPr>
        <w:ind w:firstLine="420"/>
        <w:rPr>
          <w:lang w:eastAsia="zh-CN"/>
        </w:rPr>
        <w:sectPr>
          <w:pgSz w:w="16830" w:h="11900"/>
          <w:pgMar w:top="1011" w:right="1124" w:bottom="400" w:left="805" w:header="0" w:footer="850" w:gutter="0"/>
          <w:pgNumType w:fmt="numberInDash"/>
          <w:cols w:space="720" w:num="1"/>
        </w:sectPr>
      </w:pPr>
      <w:r>
        <w:rPr>
          <w:rFonts w:hint="eastAsia"/>
          <w:lang w:eastAsia="zh-CN"/>
        </w:rPr>
        <w:drawing>
          <wp:inline distT="0" distB="0" distL="0" distR="0">
            <wp:extent cx="9462135" cy="5104130"/>
            <wp:effectExtent l="19050" t="0" r="5715"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11" cstate="print"/>
                    <a:srcRect/>
                    <a:stretch>
                      <a:fillRect/>
                    </a:stretch>
                  </pic:blipFill>
                  <pic:spPr>
                    <a:xfrm>
                      <a:off x="0" y="0"/>
                      <a:ext cx="9462135" cy="5104691"/>
                    </a:xfrm>
                    <a:prstGeom prst="rect">
                      <a:avLst/>
                    </a:prstGeom>
                    <a:noFill/>
                    <a:ln w="9525">
                      <a:noFill/>
                      <a:miter lim="800000"/>
                      <a:headEnd/>
                      <a:tailEnd/>
                    </a:ln>
                  </pic:spPr>
                </pic:pic>
              </a:graphicData>
            </a:graphic>
          </wp:inline>
        </w:drawing>
      </w:r>
    </w:p>
    <w:p>
      <w:pPr>
        <w:spacing w:before="36" w:line="224" w:lineRule="auto"/>
        <w:ind w:left="25" w:firstLine="354"/>
        <w:rPr>
          <w:rFonts w:ascii="黑体" w:hAnsi="黑体" w:eastAsia="黑体" w:cs="黑体"/>
          <w:sz w:val="18"/>
          <w:szCs w:val="18"/>
          <w:lang w:eastAsia="zh-CN"/>
        </w:rPr>
        <w:sectPr>
          <w:pgSz w:w="16830" w:h="11900"/>
          <w:pgMar w:top="952" w:right="1185" w:bottom="400" w:left="785" w:header="0" w:footer="850" w:gutter="0"/>
          <w:pgNumType w:fmt="numberInDash"/>
          <w:cols w:space="720" w:num="1"/>
        </w:sectPr>
      </w:pPr>
      <w:r>
        <w:rPr>
          <w:rFonts w:ascii="黑体" w:hAnsi="黑体" w:eastAsia="黑体" w:cs="黑体"/>
          <w:spacing w:val="-3"/>
          <w:sz w:val="18"/>
          <w:szCs w:val="18"/>
          <w:lang w:eastAsia="zh-CN"/>
        </w:rPr>
        <w:t>附件2-7:</w:t>
      </w:r>
      <w:r>
        <w:rPr>
          <w:rFonts w:ascii="黑体" w:hAnsi="黑体" w:eastAsia="黑体" w:cs="黑体"/>
          <w:sz w:val="18"/>
          <w:szCs w:val="18"/>
          <w:lang w:eastAsia="zh-CN"/>
        </w:rPr>
        <w:t xml:space="preserve"> </w:t>
      </w:r>
      <w:r>
        <w:rPr>
          <w:szCs w:val="18"/>
          <w:lang w:eastAsia="zh-CN"/>
        </w:rPr>
        <w:drawing>
          <wp:inline distT="0" distB="0" distL="0" distR="0">
            <wp:extent cx="9436100" cy="1884045"/>
            <wp:effectExtent l="1905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noChangeArrowheads="1"/>
                    </pic:cNvPicPr>
                  </pic:nvPicPr>
                  <pic:blipFill>
                    <a:blip r:embed="rId12" cstate="print"/>
                    <a:srcRect/>
                    <a:stretch>
                      <a:fillRect/>
                    </a:stretch>
                  </pic:blipFill>
                  <pic:spPr>
                    <a:xfrm>
                      <a:off x="0" y="0"/>
                      <a:ext cx="9436100" cy="1884647"/>
                    </a:xfrm>
                    <a:prstGeom prst="rect">
                      <a:avLst/>
                    </a:prstGeom>
                    <a:noFill/>
                    <a:ln w="9525">
                      <a:noFill/>
                      <a:miter lim="800000"/>
                      <a:headEnd/>
                      <a:tailEnd/>
                    </a:ln>
                  </pic:spPr>
                </pic:pic>
              </a:graphicData>
            </a:graphic>
          </wp:inline>
        </w:drawing>
      </w:r>
    </w:p>
    <w:p>
      <w:pPr>
        <w:spacing w:before="198" w:line="224" w:lineRule="auto"/>
        <w:ind w:left="44" w:firstLine="426"/>
        <w:rPr>
          <w:rFonts w:ascii="黑体" w:hAnsi="黑体" w:eastAsia="黑体" w:cs="黑体"/>
          <w:sz w:val="22"/>
          <w:szCs w:val="22"/>
          <w:lang w:eastAsia="zh-CN"/>
        </w:rPr>
      </w:pPr>
      <w:r>
        <w:rPr>
          <w:rFonts w:ascii="黑体" w:hAnsi="黑体" w:eastAsia="黑体" w:cs="黑体"/>
          <w:spacing w:val="-7"/>
          <w:sz w:val="22"/>
          <w:szCs w:val="22"/>
          <w:lang w:eastAsia="zh-CN"/>
        </w:rPr>
        <w:t>附件2-8:</w:t>
      </w:r>
    </w:p>
    <w:p>
      <w:pPr>
        <w:spacing w:before="132" w:line="213" w:lineRule="auto"/>
        <w:ind w:left="34" w:firstLine="420"/>
        <w:rPr>
          <w:rFonts w:ascii="黑体" w:hAnsi="黑体" w:eastAsia="黑体" w:cs="黑体"/>
          <w:sz w:val="22"/>
          <w:szCs w:val="22"/>
          <w:lang w:eastAsia="zh-CN"/>
        </w:rPr>
      </w:pPr>
      <w:r>
        <w:rPr>
          <w:szCs w:val="22"/>
          <w:lang w:eastAsia="zh-CN"/>
        </w:rPr>
        <w:drawing>
          <wp:inline distT="0" distB="0" distL="0" distR="0">
            <wp:extent cx="9500870" cy="1894840"/>
            <wp:effectExtent l="19050" t="0" r="508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noChangeArrowheads="1"/>
                    </pic:cNvPicPr>
                  </pic:nvPicPr>
                  <pic:blipFill>
                    <a:blip r:embed="rId13" cstate="print"/>
                    <a:srcRect/>
                    <a:stretch>
                      <a:fillRect/>
                    </a:stretch>
                  </pic:blipFill>
                  <pic:spPr>
                    <a:xfrm>
                      <a:off x="0" y="0"/>
                      <a:ext cx="9500870" cy="1894886"/>
                    </a:xfrm>
                    <a:prstGeom prst="rect">
                      <a:avLst/>
                    </a:prstGeom>
                    <a:noFill/>
                    <a:ln w="9525">
                      <a:noFill/>
                      <a:miter lim="800000"/>
                      <a:headEnd/>
                      <a:tailEnd/>
                    </a:ln>
                  </pic:spPr>
                </pic:pic>
              </a:graphicData>
            </a:graphic>
          </wp:inline>
        </w:drawing>
      </w:r>
      <w:r>
        <w:rPr>
          <w:rFonts w:ascii="黑体" w:hAnsi="黑体" w:eastAsia="黑体" w:cs="黑体"/>
          <w:spacing w:val="-2"/>
          <w:sz w:val="22"/>
          <w:szCs w:val="22"/>
          <w:lang w:eastAsia="zh-CN"/>
        </w:rPr>
        <w:t>注：若为空表，则为该部门</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单位</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无政府性基金收支。</w:t>
      </w:r>
    </w:p>
    <w:p>
      <w:pPr>
        <w:spacing w:line="213" w:lineRule="auto"/>
        <w:ind w:firstLine="440"/>
        <w:rPr>
          <w:rFonts w:ascii="黑体" w:hAnsi="黑体" w:eastAsia="黑体" w:cs="黑体"/>
          <w:sz w:val="22"/>
          <w:szCs w:val="22"/>
          <w:lang w:eastAsia="zh-CN"/>
        </w:rPr>
        <w:sectPr>
          <w:pgSz w:w="16930" w:h="12040"/>
          <w:pgMar w:top="1023" w:right="1064" w:bottom="400" w:left="904" w:header="0" w:footer="850" w:gutter="0"/>
          <w:pgNumType w:fmt="numberInDash"/>
          <w:cols w:space="720" w:num="1"/>
        </w:sectPr>
      </w:pPr>
    </w:p>
    <w:p>
      <w:pPr>
        <w:spacing w:before="43" w:line="224" w:lineRule="auto"/>
        <w:ind w:left="34" w:firstLine="412"/>
        <w:rPr>
          <w:rFonts w:ascii="黑体" w:hAnsi="黑体" w:eastAsia="黑体" w:cs="黑体"/>
          <w:lang w:eastAsia="zh-CN"/>
        </w:rPr>
      </w:pPr>
      <w:r>
        <w:rPr>
          <w:rFonts w:ascii="黑体" w:hAnsi="黑体" w:eastAsia="黑体" w:cs="黑体"/>
          <w:spacing w:val="-4"/>
          <w:lang w:eastAsia="zh-CN"/>
        </w:rPr>
        <w:t>附件2-9:</w:t>
      </w:r>
    </w:p>
    <w:p>
      <w:pPr>
        <w:spacing w:before="142" w:line="213" w:lineRule="auto"/>
        <w:ind w:left="34" w:firstLine="420"/>
        <w:rPr>
          <w:rFonts w:ascii="黑体" w:hAnsi="黑体" w:eastAsia="黑体" w:cs="黑体"/>
          <w:lang w:eastAsia="zh-CN"/>
        </w:rPr>
        <w:sectPr>
          <w:pgSz w:w="16830" w:h="11900"/>
          <w:pgMar w:top="1008" w:right="984" w:bottom="400" w:left="895" w:header="0" w:footer="850" w:gutter="0"/>
          <w:pgNumType w:fmt="numberInDash"/>
          <w:cols w:space="720" w:num="1"/>
        </w:sectPr>
      </w:pPr>
      <w:r>
        <w:rPr>
          <w:lang w:eastAsia="zh-CN"/>
        </w:rPr>
        <w:drawing>
          <wp:inline distT="0" distB="0" distL="0" distR="0">
            <wp:extent cx="9493885" cy="1787525"/>
            <wp:effectExtent l="19050" t="0" r="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14" cstate="print"/>
                    <a:srcRect/>
                    <a:stretch>
                      <a:fillRect/>
                    </a:stretch>
                  </pic:blipFill>
                  <pic:spPr>
                    <a:xfrm>
                      <a:off x="0" y="0"/>
                      <a:ext cx="9493885" cy="1787810"/>
                    </a:xfrm>
                    <a:prstGeom prst="rect">
                      <a:avLst/>
                    </a:prstGeom>
                    <a:noFill/>
                    <a:ln w="9525">
                      <a:noFill/>
                      <a:miter lim="800000"/>
                      <a:headEnd/>
                      <a:tailEnd/>
                    </a:ln>
                  </pic:spPr>
                </pic:pic>
              </a:graphicData>
            </a:graphic>
          </wp:inline>
        </w:drawing>
      </w:r>
      <w:r>
        <w:rPr>
          <w:rFonts w:ascii="黑体" w:hAnsi="黑体" w:eastAsia="黑体" w:cs="黑体"/>
          <w:spacing w:val="7"/>
          <w:lang w:eastAsia="zh-CN"/>
        </w:rPr>
        <w:t>注：若为空表，则为该部门</w:t>
      </w:r>
      <w:r>
        <w:rPr>
          <w:rFonts w:hint="eastAsia" w:ascii="黑体" w:hAnsi="黑体" w:eastAsia="黑体" w:cs="黑体"/>
          <w:spacing w:val="7"/>
          <w:lang w:eastAsia="zh-CN"/>
        </w:rPr>
        <w:t>（</w:t>
      </w:r>
      <w:r>
        <w:rPr>
          <w:rFonts w:ascii="黑体" w:hAnsi="黑体" w:eastAsia="黑体" w:cs="黑体"/>
          <w:spacing w:val="7"/>
          <w:lang w:eastAsia="zh-CN"/>
        </w:rPr>
        <w:t>单位</w:t>
      </w:r>
      <w:r>
        <w:rPr>
          <w:rFonts w:hint="eastAsia" w:ascii="黑体" w:hAnsi="黑体" w:eastAsia="黑体" w:cs="黑体"/>
          <w:spacing w:val="7"/>
          <w:lang w:eastAsia="zh-CN"/>
        </w:rPr>
        <w:t>）</w:t>
      </w:r>
      <w:r>
        <w:rPr>
          <w:rFonts w:ascii="黑体" w:hAnsi="黑体" w:eastAsia="黑体" w:cs="黑体"/>
          <w:spacing w:val="7"/>
          <w:lang w:eastAsia="zh-CN"/>
        </w:rPr>
        <w:t>无国有资本经营预算</w:t>
      </w:r>
      <w:r>
        <w:rPr>
          <w:rFonts w:ascii="黑体" w:hAnsi="黑体" w:eastAsia="黑体" w:cs="黑体"/>
          <w:spacing w:val="6"/>
          <w:lang w:eastAsia="zh-CN"/>
        </w:rPr>
        <w:t>收</w:t>
      </w:r>
    </w:p>
    <w:p>
      <w:pPr>
        <w:spacing w:before="45" w:line="224" w:lineRule="auto"/>
        <w:rPr>
          <w:rFonts w:ascii="黑体" w:hAnsi="黑体" w:eastAsia="黑体" w:cs="黑体"/>
          <w:sz w:val="22"/>
          <w:szCs w:val="22"/>
          <w:lang w:eastAsia="zh-CN"/>
        </w:rPr>
      </w:pPr>
      <w:r>
        <w:rPr>
          <w:rFonts w:ascii="黑体" w:hAnsi="黑体" w:eastAsia="黑体" w:cs="黑体"/>
          <w:spacing w:val="1"/>
          <w:sz w:val="22"/>
          <w:szCs w:val="22"/>
          <w:lang w:eastAsia="zh-CN"/>
        </w:rPr>
        <w:t>附件</w:t>
      </w:r>
      <w:r>
        <w:rPr>
          <w:rFonts w:hint="eastAsia" w:ascii="黑体" w:hAnsi="黑体" w:eastAsia="黑体" w:cs="黑体"/>
          <w:spacing w:val="1"/>
          <w:sz w:val="22"/>
          <w:szCs w:val="22"/>
          <w:lang w:eastAsia="zh-CN"/>
        </w:rPr>
        <w:t>2-10</w:t>
      </w:r>
      <w:r>
        <w:rPr>
          <w:rFonts w:ascii="黑体" w:hAnsi="黑体" w:eastAsia="黑体" w:cs="黑体"/>
          <w:spacing w:val="1"/>
          <w:sz w:val="22"/>
          <w:szCs w:val="22"/>
          <w:lang w:eastAsia="zh-CN"/>
        </w:rPr>
        <w:t>:</w:t>
      </w:r>
    </w:p>
    <w:p>
      <w:pPr>
        <w:spacing w:before="234" w:line="220" w:lineRule="auto"/>
        <w:ind w:left="3455"/>
        <w:rPr>
          <w:rFonts w:ascii="宋体" w:hAnsi="宋体" w:eastAsia="宋体" w:cs="宋体"/>
          <w:sz w:val="30"/>
          <w:szCs w:val="30"/>
          <w:lang w:eastAsia="zh-CN"/>
        </w:rPr>
      </w:pPr>
      <w:r>
        <w:rPr>
          <w:rFonts w:ascii="宋体" w:hAnsi="宋体" w:eastAsia="宋体" w:cs="宋体"/>
          <w:spacing w:val="4"/>
          <w:sz w:val="30"/>
          <w:szCs w:val="30"/>
          <w:lang w:eastAsia="zh-CN"/>
        </w:rPr>
        <w:t>项目支出绩效目标表</w:t>
      </w:r>
    </w:p>
    <w:p>
      <w:pPr>
        <w:spacing w:line="272" w:lineRule="auto"/>
        <w:rPr>
          <w:lang w:eastAsia="zh-CN"/>
        </w:rPr>
      </w:pPr>
    </w:p>
    <w:p>
      <w:pPr>
        <w:spacing w:before="71" w:line="225" w:lineRule="auto"/>
        <w:ind w:left="4275"/>
        <w:rPr>
          <w:rFonts w:ascii="楷体" w:hAnsi="楷体" w:eastAsia="楷体" w:cs="楷体"/>
          <w:sz w:val="22"/>
          <w:szCs w:val="22"/>
          <w:lang w:eastAsia="zh-CN"/>
        </w:rPr>
      </w:pPr>
      <w:r>
        <w:rPr>
          <w:rFonts w:hint="eastAsia" w:ascii="楷体" w:hAnsi="楷体" w:eastAsia="楷体" w:cs="楷体"/>
          <w:spacing w:val="2"/>
          <w:sz w:val="22"/>
          <w:szCs w:val="22"/>
          <w:lang w:eastAsia="zh-CN"/>
        </w:rPr>
        <w:t>（</w:t>
      </w:r>
      <w:r>
        <w:rPr>
          <w:rFonts w:ascii="楷体" w:hAnsi="楷体" w:eastAsia="楷体" w:cs="楷体"/>
          <w:spacing w:val="2"/>
          <w:sz w:val="22"/>
          <w:szCs w:val="22"/>
        </w:rPr>
        <w:t>2024年度</w:t>
      </w:r>
      <w:r>
        <w:rPr>
          <w:rFonts w:hint="eastAsia" w:ascii="楷体" w:hAnsi="楷体" w:eastAsia="楷体" w:cs="楷体"/>
          <w:spacing w:val="2"/>
          <w:sz w:val="22"/>
          <w:szCs w:val="22"/>
          <w:lang w:eastAsia="zh-CN"/>
        </w:rPr>
        <w:t>）</w:t>
      </w:r>
    </w:p>
    <w:p>
      <w:pPr>
        <w:spacing w:line="80" w:lineRule="exact"/>
      </w:pPr>
    </w:p>
    <w:tbl>
      <w:tblPr>
        <w:tblStyle w:val="9"/>
        <w:tblW w:w="96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1418"/>
        <w:gridCol w:w="2028"/>
        <w:gridCol w:w="1908"/>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822" w:type="dxa"/>
            <w:gridSpan w:val="2"/>
          </w:tcPr>
          <w:p>
            <w:pPr>
              <w:spacing w:before="175" w:line="220" w:lineRule="auto"/>
              <w:ind w:left="945"/>
              <w:rPr>
                <w:rFonts w:ascii="宋体" w:hAnsi="宋体" w:eastAsia="宋体" w:cs="宋体"/>
                <w:sz w:val="23"/>
                <w:szCs w:val="23"/>
              </w:rPr>
            </w:pPr>
            <w:r>
              <w:rPr>
                <w:rFonts w:ascii="宋体" w:hAnsi="宋体" w:eastAsia="宋体" w:cs="宋体"/>
                <w:spacing w:val="2"/>
                <w:sz w:val="23"/>
                <w:szCs w:val="23"/>
              </w:rPr>
              <w:t>项目名称</w:t>
            </w:r>
          </w:p>
        </w:tc>
        <w:tc>
          <w:tcPr>
            <w:tcW w:w="6778" w:type="dxa"/>
            <w:gridSpan w:val="3"/>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tcPr>
          <w:p>
            <w:pPr>
              <w:spacing w:before="169" w:line="219" w:lineRule="auto"/>
              <w:ind w:left="945"/>
              <w:rPr>
                <w:rFonts w:ascii="宋体" w:hAnsi="宋体" w:eastAsia="宋体" w:cs="宋体"/>
                <w:sz w:val="23"/>
                <w:szCs w:val="23"/>
              </w:rPr>
            </w:pPr>
            <w:r>
              <w:rPr>
                <w:rFonts w:ascii="宋体" w:hAnsi="宋体" w:eastAsia="宋体" w:cs="宋体"/>
                <w:spacing w:val="6"/>
                <w:sz w:val="23"/>
                <w:szCs w:val="23"/>
              </w:rPr>
              <w:t>主管部门</w:t>
            </w:r>
          </w:p>
        </w:tc>
        <w:tc>
          <w:tcPr>
            <w:tcW w:w="2028" w:type="dxa"/>
          </w:tcPr>
          <w:p>
            <w:pPr>
              <w:pStyle w:val="10"/>
            </w:pPr>
          </w:p>
        </w:tc>
        <w:tc>
          <w:tcPr>
            <w:tcW w:w="1908" w:type="dxa"/>
          </w:tcPr>
          <w:p>
            <w:pPr>
              <w:spacing w:before="170" w:line="220" w:lineRule="auto"/>
              <w:ind w:left="485"/>
              <w:rPr>
                <w:rFonts w:ascii="宋体" w:hAnsi="宋体" w:eastAsia="宋体" w:cs="宋体"/>
                <w:sz w:val="23"/>
                <w:szCs w:val="23"/>
              </w:rPr>
            </w:pPr>
            <w:r>
              <w:rPr>
                <w:rFonts w:ascii="宋体" w:hAnsi="宋体" w:eastAsia="宋体" w:cs="宋体"/>
                <w:spacing w:val="2"/>
                <w:sz w:val="23"/>
                <w:szCs w:val="23"/>
              </w:rPr>
              <w:t>实施单位</w:t>
            </w: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384" w:lineRule="auto"/>
            </w:pPr>
          </w:p>
          <w:p>
            <w:pPr>
              <w:spacing w:before="74" w:line="220" w:lineRule="auto"/>
              <w:ind w:left="945"/>
              <w:rPr>
                <w:rFonts w:ascii="宋体" w:hAnsi="宋体" w:eastAsia="宋体" w:cs="宋体"/>
                <w:sz w:val="23"/>
                <w:szCs w:val="23"/>
              </w:rPr>
            </w:pPr>
            <w:r>
              <w:rPr>
                <w:rFonts w:ascii="宋体" w:hAnsi="宋体" w:eastAsia="宋体" w:cs="宋体"/>
                <w:spacing w:val="2"/>
                <w:sz w:val="23"/>
                <w:szCs w:val="23"/>
              </w:rPr>
              <w:t>项目属性</w:t>
            </w:r>
          </w:p>
        </w:tc>
        <w:tc>
          <w:tcPr>
            <w:tcW w:w="2028" w:type="dxa"/>
            <w:vMerge w:val="restart"/>
            <w:tcBorders>
              <w:bottom w:val="nil"/>
            </w:tcBorders>
          </w:tcPr>
          <w:p>
            <w:pPr>
              <w:pStyle w:val="10"/>
              <w:spacing w:line="383" w:lineRule="auto"/>
            </w:pPr>
          </w:p>
          <w:p>
            <w:pPr>
              <w:spacing w:before="75" w:line="219" w:lineRule="auto"/>
              <w:ind w:left="543"/>
              <w:rPr>
                <w:rFonts w:ascii="宋体" w:hAnsi="宋体" w:eastAsia="宋体" w:cs="宋体"/>
                <w:sz w:val="23"/>
                <w:szCs w:val="23"/>
              </w:rPr>
            </w:pPr>
            <w:r>
              <w:rPr>
                <w:rFonts w:ascii="宋体" w:hAnsi="宋体" w:eastAsia="宋体" w:cs="宋体"/>
                <w:spacing w:val="10"/>
                <w:sz w:val="23"/>
                <w:szCs w:val="23"/>
              </w:rPr>
              <w:t>当年项目</w:t>
            </w:r>
          </w:p>
        </w:tc>
        <w:tc>
          <w:tcPr>
            <w:tcW w:w="1908" w:type="dxa"/>
            <w:vMerge w:val="restart"/>
            <w:tcBorders>
              <w:bottom w:val="nil"/>
            </w:tcBorders>
          </w:tcPr>
          <w:p>
            <w:pPr>
              <w:pStyle w:val="10"/>
              <w:spacing w:line="384" w:lineRule="auto"/>
            </w:pPr>
          </w:p>
          <w:p>
            <w:pPr>
              <w:spacing w:before="74" w:line="220" w:lineRule="auto"/>
              <w:ind w:left="255"/>
              <w:rPr>
                <w:rFonts w:ascii="宋体" w:hAnsi="宋体" w:eastAsia="宋体" w:cs="宋体"/>
                <w:sz w:val="23"/>
                <w:szCs w:val="23"/>
              </w:rPr>
            </w:pPr>
            <w:r>
              <w:rPr>
                <w:rFonts w:ascii="宋体" w:hAnsi="宋体" w:eastAsia="宋体" w:cs="宋体"/>
                <w:spacing w:val="3"/>
                <w:sz w:val="23"/>
                <w:szCs w:val="23"/>
              </w:rPr>
              <w:t>项目日期范围</w:t>
            </w: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822" w:type="dxa"/>
            <w:gridSpan w:val="2"/>
            <w:vMerge w:val="continue"/>
            <w:tcBorders>
              <w:top w:val="nil"/>
            </w:tcBorders>
          </w:tcPr>
          <w:p>
            <w:pPr>
              <w:pStyle w:val="10"/>
            </w:pPr>
          </w:p>
        </w:tc>
        <w:tc>
          <w:tcPr>
            <w:tcW w:w="2028" w:type="dxa"/>
            <w:vMerge w:val="continue"/>
            <w:tcBorders>
              <w:top w:val="nil"/>
            </w:tcBorders>
          </w:tcPr>
          <w:p>
            <w:pPr>
              <w:pStyle w:val="10"/>
            </w:pPr>
          </w:p>
        </w:tc>
        <w:tc>
          <w:tcPr>
            <w:tcW w:w="1908" w:type="dxa"/>
            <w:vMerge w:val="continue"/>
            <w:tcBorders>
              <w:top w:val="nil"/>
            </w:tcBorders>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291" w:lineRule="auto"/>
            </w:pPr>
          </w:p>
          <w:p>
            <w:pPr>
              <w:pStyle w:val="10"/>
              <w:spacing w:line="292" w:lineRule="auto"/>
            </w:pPr>
          </w:p>
          <w:p>
            <w:pPr>
              <w:spacing w:before="75" w:line="225" w:lineRule="auto"/>
              <w:ind w:left="945"/>
              <w:rPr>
                <w:rFonts w:ascii="宋体" w:hAnsi="宋体" w:eastAsia="宋体" w:cs="宋体"/>
                <w:sz w:val="23"/>
                <w:szCs w:val="23"/>
              </w:rPr>
            </w:pPr>
            <w:r>
              <w:rPr>
                <w:rFonts w:ascii="宋体" w:hAnsi="宋体" w:eastAsia="宋体" w:cs="宋体"/>
                <w:spacing w:val="2"/>
                <w:sz w:val="23"/>
                <w:szCs w:val="23"/>
              </w:rPr>
              <w:t>项目资金</w:t>
            </w:r>
          </w:p>
          <w:p>
            <w:pPr>
              <w:spacing w:line="220" w:lineRule="auto"/>
              <w:ind w:left="1055"/>
              <w:rPr>
                <w:rFonts w:ascii="宋体" w:hAnsi="宋体" w:eastAsia="宋体" w:cs="宋体"/>
                <w:sz w:val="23"/>
                <w:szCs w:val="23"/>
                <w:lang w:eastAsia="zh-CN"/>
              </w:rPr>
            </w:pPr>
            <w:r>
              <w:rPr>
                <w:rFonts w:hint="eastAsia" w:ascii="宋体" w:hAnsi="宋体" w:eastAsia="宋体" w:cs="宋体"/>
                <w:spacing w:val="12"/>
                <w:sz w:val="23"/>
                <w:szCs w:val="23"/>
                <w:lang w:eastAsia="zh-CN"/>
              </w:rPr>
              <w:t>（</w:t>
            </w:r>
            <w:r>
              <w:rPr>
                <w:rFonts w:ascii="宋体" w:hAnsi="宋体" w:eastAsia="宋体" w:cs="宋体"/>
                <w:spacing w:val="12"/>
                <w:sz w:val="23"/>
                <w:szCs w:val="23"/>
              </w:rPr>
              <w:t>万元</w:t>
            </w:r>
            <w:r>
              <w:rPr>
                <w:rFonts w:hint="eastAsia" w:ascii="宋体" w:hAnsi="宋体" w:eastAsia="宋体" w:cs="宋体"/>
                <w:spacing w:val="12"/>
                <w:sz w:val="23"/>
                <w:szCs w:val="23"/>
                <w:lang w:eastAsia="zh-CN"/>
              </w:rPr>
              <w:t>）</w:t>
            </w:r>
          </w:p>
        </w:tc>
        <w:tc>
          <w:tcPr>
            <w:tcW w:w="2028" w:type="dxa"/>
          </w:tcPr>
          <w:p>
            <w:pPr>
              <w:spacing w:before="171" w:line="219" w:lineRule="auto"/>
              <w:ind w:left="313"/>
              <w:rPr>
                <w:rFonts w:ascii="宋体" w:hAnsi="宋体" w:eastAsia="宋体" w:cs="宋体"/>
                <w:sz w:val="23"/>
                <w:szCs w:val="23"/>
              </w:rPr>
            </w:pPr>
            <w:r>
              <w:rPr>
                <w:rFonts w:ascii="宋体" w:hAnsi="宋体" w:eastAsia="宋体" w:cs="宋体"/>
                <w:spacing w:val="-2"/>
                <w:sz w:val="23"/>
                <w:szCs w:val="23"/>
              </w:rPr>
              <w:t>年度资金总额</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vMerge w:val="continue"/>
            <w:tcBorders>
              <w:top w:val="nil"/>
              <w:bottom w:val="nil"/>
            </w:tcBorders>
          </w:tcPr>
          <w:p>
            <w:pPr>
              <w:pStyle w:val="10"/>
            </w:pPr>
          </w:p>
        </w:tc>
        <w:tc>
          <w:tcPr>
            <w:tcW w:w="2028" w:type="dxa"/>
          </w:tcPr>
          <w:p>
            <w:pPr>
              <w:spacing w:before="171" w:line="219" w:lineRule="auto"/>
              <w:ind w:left="203"/>
              <w:rPr>
                <w:rFonts w:ascii="宋体" w:hAnsi="宋体" w:eastAsia="宋体" w:cs="宋体"/>
                <w:sz w:val="23"/>
                <w:szCs w:val="23"/>
              </w:rPr>
            </w:pPr>
            <w:r>
              <w:rPr>
                <w:rFonts w:ascii="宋体" w:hAnsi="宋体" w:eastAsia="宋体" w:cs="宋体"/>
                <w:spacing w:val="-2"/>
                <w:sz w:val="23"/>
                <w:szCs w:val="23"/>
              </w:rPr>
              <w:t>其中：财政拨款</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822" w:type="dxa"/>
            <w:gridSpan w:val="2"/>
            <w:vMerge w:val="continue"/>
            <w:tcBorders>
              <w:top w:val="nil"/>
            </w:tcBorders>
          </w:tcPr>
          <w:p>
            <w:pPr>
              <w:pStyle w:val="10"/>
            </w:pPr>
          </w:p>
        </w:tc>
        <w:tc>
          <w:tcPr>
            <w:tcW w:w="2028" w:type="dxa"/>
          </w:tcPr>
          <w:p>
            <w:pPr>
              <w:spacing w:before="173" w:line="220" w:lineRule="auto"/>
              <w:ind w:left="543"/>
              <w:rPr>
                <w:rFonts w:ascii="宋体" w:hAnsi="宋体" w:eastAsia="宋体" w:cs="宋体"/>
                <w:sz w:val="23"/>
                <w:szCs w:val="23"/>
              </w:rPr>
            </w:pPr>
            <w:r>
              <w:rPr>
                <w:rFonts w:ascii="宋体" w:hAnsi="宋体" w:eastAsia="宋体" w:cs="宋体"/>
                <w:spacing w:val="-2"/>
                <w:sz w:val="23"/>
                <w:szCs w:val="23"/>
              </w:rPr>
              <w:t>其他资金</w:t>
            </w:r>
          </w:p>
        </w:tc>
        <w:tc>
          <w:tcPr>
            <w:tcW w:w="475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600" w:type="dxa"/>
            <w:gridSpan w:val="5"/>
          </w:tcPr>
          <w:p>
            <w:pPr>
              <w:spacing w:before="172" w:line="219" w:lineRule="auto"/>
              <w:ind w:left="4115"/>
              <w:rPr>
                <w:rFonts w:ascii="宋体" w:hAnsi="宋体" w:eastAsia="宋体" w:cs="宋体"/>
                <w:sz w:val="23"/>
                <w:szCs w:val="23"/>
              </w:rPr>
            </w:pPr>
            <w:r>
              <w:rPr>
                <w:rFonts w:ascii="宋体" w:hAnsi="宋体" w:eastAsia="宋体" w:cs="宋体"/>
                <w:spacing w:val="-2"/>
                <w:sz w:val="23"/>
                <w:szCs w:val="23"/>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9600" w:type="dxa"/>
            <w:gridSpan w:val="5"/>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tcPr>
          <w:p>
            <w:pPr>
              <w:spacing w:before="175" w:line="220" w:lineRule="auto"/>
              <w:ind w:left="235"/>
              <w:rPr>
                <w:rFonts w:ascii="宋体" w:hAnsi="宋体" w:eastAsia="宋体" w:cs="宋体"/>
                <w:sz w:val="23"/>
                <w:szCs w:val="23"/>
              </w:rPr>
            </w:pPr>
            <w:r>
              <w:rPr>
                <w:rFonts w:ascii="宋体" w:hAnsi="宋体" w:eastAsia="宋体" w:cs="宋体"/>
                <w:spacing w:val="2"/>
                <w:sz w:val="23"/>
                <w:szCs w:val="23"/>
              </w:rPr>
              <w:t>一级指标</w:t>
            </w:r>
          </w:p>
        </w:tc>
        <w:tc>
          <w:tcPr>
            <w:tcW w:w="1418" w:type="dxa"/>
          </w:tcPr>
          <w:p>
            <w:pPr>
              <w:spacing w:before="175" w:line="220" w:lineRule="auto"/>
              <w:ind w:left="241"/>
              <w:rPr>
                <w:rFonts w:ascii="宋体" w:hAnsi="宋体" w:eastAsia="宋体" w:cs="宋体"/>
                <w:sz w:val="23"/>
                <w:szCs w:val="23"/>
              </w:rPr>
            </w:pPr>
            <w:r>
              <w:rPr>
                <w:rFonts w:ascii="宋体" w:hAnsi="宋体" w:eastAsia="宋体" w:cs="宋体"/>
                <w:spacing w:val="2"/>
                <w:sz w:val="23"/>
                <w:szCs w:val="23"/>
              </w:rPr>
              <w:t>二级指标</w:t>
            </w:r>
          </w:p>
        </w:tc>
        <w:tc>
          <w:tcPr>
            <w:tcW w:w="3936" w:type="dxa"/>
            <w:gridSpan w:val="2"/>
          </w:tcPr>
          <w:p>
            <w:pPr>
              <w:spacing w:before="175" w:line="220" w:lineRule="auto"/>
              <w:ind w:left="1543"/>
              <w:rPr>
                <w:rFonts w:ascii="宋体" w:hAnsi="宋体" w:eastAsia="宋体" w:cs="宋体"/>
                <w:sz w:val="23"/>
                <w:szCs w:val="23"/>
              </w:rPr>
            </w:pPr>
            <w:r>
              <w:rPr>
                <w:rFonts w:ascii="宋体" w:hAnsi="宋体" w:eastAsia="宋体" w:cs="宋体"/>
                <w:spacing w:val="-2"/>
                <w:sz w:val="23"/>
                <w:szCs w:val="23"/>
              </w:rPr>
              <w:t>三级指标</w:t>
            </w:r>
          </w:p>
        </w:tc>
        <w:tc>
          <w:tcPr>
            <w:tcW w:w="2842" w:type="dxa"/>
          </w:tcPr>
          <w:p>
            <w:pPr>
              <w:spacing w:before="174" w:line="219" w:lineRule="auto"/>
              <w:ind w:left="1067"/>
              <w:rPr>
                <w:rFonts w:ascii="宋体" w:hAnsi="宋体" w:eastAsia="宋体" w:cs="宋体"/>
                <w:sz w:val="23"/>
                <w:szCs w:val="23"/>
              </w:rPr>
            </w:pPr>
            <w:r>
              <w:rPr>
                <w:rFonts w:ascii="宋体" w:hAnsi="宋体" w:eastAsia="宋体" w:cs="宋体"/>
                <w:spacing w:val="2"/>
                <w:sz w:val="23"/>
                <w:szCs w:val="23"/>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restart"/>
            <w:tcBorders>
              <w:bottom w:val="nil"/>
            </w:tcBorders>
          </w:tcPr>
          <w:p>
            <w:pPr>
              <w:pStyle w:val="10"/>
              <w:spacing w:line="259"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spacing w:before="75" w:line="219" w:lineRule="auto"/>
              <w:ind w:left="235"/>
              <w:rPr>
                <w:rFonts w:ascii="宋体" w:hAnsi="宋体" w:eastAsia="宋体" w:cs="宋体"/>
                <w:sz w:val="23"/>
                <w:szCs w:val="23"/>
              </w:rPr>
            </w:pPr>
            <w:r>
              <w:rPr>
                <w:rFonts w:ascii="宋体" w:hAnsi="宋体" w:eastAsia="宋体" w:cs="宋体"/>
                <w:spacing w:val="-2"/>
                <w:sz w:val="23"/>
                <w:szCs w:val="23"/>
              </w:rPr>
              <w:t>产出指标</w:t>
            </w:r>
          </w:p>
        </w:tc>
        <w:tc>
          <w:tcPr>
            <w:tcW w:w="1418" w:type="dxa"/>
            <w:vMerge w:val="restart"/>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3"/>
                <w:sz w:val="23"/>
                <w:szCs w:val="23"/>
              </w:rPr>
              <w:t>数量</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continue"/>
            <w:tcBorders>
              <w:top w:val="nil"/>
              <w:bottom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bottom w:val="nil"/>
            </w:tcBorders>
          </w:tcPr>
          <w:p>
            <w:pPr>
              <w:pStyle w:val="10"/>
            </w:pPr>
          </w:p>
        </w:tc>
        <w:tc>
          <w:tcPr>
            <w:tcW w:w="1418" w:type="dxa"/>
            <w:vMerge w:val="restart"/>
            <w:tcBorders>
              <w:bottom w:val="nil"/>
            </w:tcBorders>
          </w:tcPr>
          <w:p>
            <w:pPr>
              <w:pStyle w:val="10"/>
              <w:spacing w:line="389" w:lineRule="auto"/>
            </w:pPr>
          </w:p>
          <w:p>
            <w:pPr>
              <w:spacing w:before="75" w:line="220" w:lineRule="auto"/>
              <w:ind w:left="471"/>
              <w:rPr>
                <w:rFonts w:ascii="宋体" w:hAnsi="宋体" w:eastAsia="宋体" w:cs="宋体"/>
                <w:sz w:val="23"/>
                <w:szCs w:val="23"/>
              </w:rPr>
            </w:pPr>
            <w:r>
              <w:rPr>
                <w:rFonts w:ascii="宋体" w:hAnsi="宋体" w:eastAsia="宋体" w:cs="宋体"/>
                <w:spacing w:val="-3"/>
                <w:sz w:val="23"/>
                <w:szCs w:val="23"/>
              </w:rPr>
              <w:t>质量</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04" w:type="dxa"/>
            <w:vMerge w:val="continue"/>
            <w:tcBorders>
              <w:top w:val="nil"/>
              <w:bottom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bottom w:val="nil"/>
            </w:tcBorders>
          </w:tcPr>
          <w:p>
            <w:pPr>
              <w:pStyle w:val="10"/>
            </w:pPr>
          </w:p>
        </w:tc>
        <w:tc>
          <w:tcPr>
            <w:tcW w:w="1418" w:type="dxa"/>
          </w:tcPr>
          <w:p>
            <w:pPr>
              <w:spacing w:before="178" w:line="220" w:lineRule="auto"/>
              <w:ind w:left="471"/>
              <w:rPr>
                <w:rFonts w:ascii="宋体" w:hAnsi="宋体" w:eastAsia="宋体" w:cs="宋体"/>
                <w:sz w:val="23"/>
                <w:szCs w:val="23"/>
              </w:rPr>
            </w:pPr>
            <w:r>
              <w:rPr>
                <w:rFonts w:ascii="宋体" w:hAnsi="宋体" w:eastAsia="宋体" w:cs="宋体"/>
                <w:spacing w:val="4"/>
                <w:sz w:val="23"/>
                <w:szCs w:val="23"/>
              </w:rPr>
              <w:t>时效</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continue"/>
            <w:tcBorders>
              <w:top w:val="nil"/>
              <w:bottom w:val="nil"/>
            </w:tcBorders>
          </w:tcPr>
          <w:p>
            <w:pPr>
              <w:pStyle w:val="10"/>
            </w:pPr>
          </w:p>
        </w:tc>
        <w:tc>
          <w:tcPr>
            <w:tcW w:w="1418" w:type="dxa"/>
            <w:vMerge w:val="restart"/>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5"/>
                <w:sz w:val="23"/>
                <w:szCs w:val="23"/>
              </w:rPr>
              <w:t>成本</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tcBorders>
          </w:tcPr>
          <w:p>
            <w:pPr>
              <w:pStyle w:val="10"/>
            </w:pPr>
          </w:p>
        </w:tc>
        <w:tc>
          <w:tcPr>
            <w:tcW w:w="1418" w:type="dxa"/>
            <w:vMerge w:val="continue"/>
            <w:tcBorders>
              <w:top w:val="nil"/>
            </w:tcBorders>
          </w:tcPr>
          <w:p>
            <w:pPr>
              <w:pStyle w:val="10"/>
            </w:pP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restart"/>
            <w:tcBorders>
              <w:bottom w:val="nil"/>
            </w:tcBorders>
          </w:tcPr>
          <w:p>
            <w:pPr>
              <w:pStyle w:val="10"/>
              <w:spacing w:line="391" w:lineRule="auto"/>
            </w:pPr>
          </w:p>
          <w:p>
            <w:pPr>
              <w:spacing w:before="75" w:line="220" w:lineRule="auto"/>
              <w:ind w:left="235"/>
              <w:rPr>
                <w:rFonts w:ascii="宋体" w:hAnsi="宋体" w:eastAsia="宋体" w:cs="宋体"/>
                <w:sz w:val="23"/>
                <w:szCs w:val="23"/>
              </w:rPr>
            </w:pPr>
            <w:r>
              <w:rPr>
                <w:rFonts w:ascii="宋体" w:hAnsi="宋体" w:eastAsia="宋体" w:cs="宋体"/>
                <w:spacing w:val="2"/>
                <w:sz w:val="23"/>
                <w:szCs w:val="23"/>
              </w:rPr>
              <w:t>效益指标</w:t>
            </w:r>
          </w:p>
        </w:tc>
        <w:tc>
          <w:tcPr>
            <w:tcW w:w="1418" w:type="dxa"/>
          </w:tcPr>
          <w:p>
            <w:pPr>
              <w:spacing w:before="176" w:line="219" w:lineRule="auto"/>
              <w:ind w:left="241"/>
              <w:rPr>
                <w:rFonts w:ascii="宋体" w:hAnsi="宋体" w:eastAsia="宋体" w:cs="宋体"/>
                <w:sz w:val="23"/>
                <w:szCs w:val="23"/>
              </w:rPr>
            </w:pPr>
            <w:r>
              <w:rPr>
                <w:rFonts w:ascii="宋体" w:hAnsi="宋体" w:eastAsia="宋体" w:cs="宋体"/>
                <w:spacing w:val="2"/>
                <w:sz w:val="23"/>
                <w:szCs w:val="23"/>
              </w:rPr>
              <w:t>社会效益</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tcBorders>
          </w:tcPr>
          <w:p>
            <w:pPr>
              <w:pStyle w:val="10"/>
            </w:pPr>
          </w:p>
        </w:tc>
        <w:tc>
          <w:tcPr>
            <w:tcW w:w="1418" w:type="dxa"/>
          </w:tcPr>
          <w:p>
            <w:pPr>
              <w:spacing w:before="179" w:line="219" w:lineRule="auto"/>
              <w:ind w:left="121"/>
              <w:rPr>
                <w:rFonts w:ascii="宋体" w:hAnsi="宋体" w:eastAsia="宋体" w:cs="宋体"/>
                <w:sz w:val="23"/>
                <w:szCs w:val="23"/>
              </w:rPr>
            </w:pPr>
            <w:r>
              <w:rPr>
                <w:rFonts w:ascii="宋体" w:hAnsi="宋体" w:eastAsia="宋体" w:cs="宋体"/>
                <w:spacing w:val="3"/>
                <w:sz w:val="23"/>
                <w:szCs w:val="23"/>
              </w:rPr>
              <w:t>可持续影响</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04" w:type="dxa"/>
          </w:tcPr>
          <w:p>
            <w:pPr>
              <w:spacing w:before="179" w:line="219" w:lineRule="auto"/>
              <w:ind w:left="345"/>
              <w:rPr>
                <w:rFonts w:ascii="宋体" w:hAnsi="宋体" w:eastAsia="宋体" w:cs="宋体"/>
                <w:sz w:val="23"/>
                <w:szCs w:val="23"/>
              </w:rPr>
            </w:pPr>
            <w:r>
              <w:rPr>
                <w:rFonts w:ascii="宋体" w:hAnsi="宋体" w:eastAsia="宋体" w:cs="宋体"/>
                <w:spacing w:val="4"/>
                <w:sz w:val="23"/>
                <w:szCs w:val="23"/>
              </w:rPr>
              <w:t>满意度</w:t>
            </w:r>
          </w:p>
        </w:tc>
        <w:tc>
          <w:tcPr>
            <w:tcW w:w="1418" w:type="dxa"/>
          </w:tcPr>
          <w:p>
            <w:pPr>
              <w:spacing w:before="179" w:line="219" w:lineRule="auto"/>
              <w:ind w:left="351"/>
              <w:rPr>
                <w:rFonts w:ascii="宋体" w:hAnsi="宋体" w:eastAsia="宋体" w:cs="宋体"/>
                <w:sz w:val="23"/>
                <w:szCs w:val="23"/>
              </w:rPr>
            </w:pPr>
            <w:r>
              <w:rPr>
                <w:rFonts w:ascii="宋体" w:hAnsi="宋体" w:eastAsia="宋体" w:cs="宋体"/>
                <w:spacing w:val="4"/>
                <w:sz w:val="23"/>
                <w:szCs w:val="23"/>
              </w:rPr>
              <w:t>满意度</w:t>
            </w:r>
          </w:p>
        </w:tc>
        <w:tc>
          <w:tcPr>
            <w:tcW w:w="3936" w:type="dxa"/>
            <w:gridSpan w:val="2"/>
          </w:tcPr>
          <w:p>
            <w:pPr>
              <w:pStyle w:val="10"/>
            </w:pPr>
          </w:p>
        </w:tc>
        <w:tc>
          <w:tcPr>
            <w:tcW w:w="2842" w:type="dxa"/>
          </w:tcPr>
          <w:p>
            <w:pPr>
              <w:pStyle w:val="10"/>
            </w:pPr>
          </w:p>
        </w:tc>
      </w:tr>
    </w:tbl>
    <w:p>
      <w:pPr>
        <w:rPr>
          <w:lang w:eastAsia="zh-CN"/>
        </w:rPr>
        <w:sectPr>
          <w:pgSz w:w="11900" w:h="16830"/>
          <w:pgMar w:top="1386" w:right="1284" w:bottom="400" w:left="1004" w:header="0" w:footer="1361" w:gutter="0"/>
          <w:pgNumType w:fmt="numberInDash"/>
          <w:cols w:space="720" w:num="1"/>
        </w:sectPr>
      </w:pPr>
    </w:p>
    <w:p>
      <w:pPr>
        <w:spacing w:before="47" w:line="193" w:lineRule="auto"/>
        <w:rPr>
          <w:rFonts w:ascii="宋体" w:hAnsi="宋体" w:eastAsia="宋体" w:cs="宋体"/>
          <w:sz w:val="24"/>
          <w:szCs w:val="24"/>
          <w:lang w:eastAsia="zh-CN"/>
        </w:rPr>
        <w:sectPr>
          <w:type w:val="continuous"/>
          <w:pgSz w:w="11900" w:h="16830"/>
          <w:pgMar w:top="1341" w:right="964" w:bottom="400" w:left="833" w:header="0" w:footer="0" w:gutter="0"/>
          <w:pgNumType w:fmt="numberInDash"/>
          <w:cols w:equalWidth="0" w:num="2">
            <w:col w:w="5217" w:space="100"/>
            <w:col w:w="4785"/>
          </w:cols>
        </w:sectPr>
      </w:pP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第三部分 新建区人民医院2024年单位预算情况说明</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ind w:firstLine="640" w:firstLineChars="200"/>
        <w:jc w:val="both"/>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一、2024年单位预算收支情况说明</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（一）收入预算情况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新建区人民医院</w:t>
      </w:r>
      <w:r>
        <w:rPr>
          <w:rFonts w:ascii="Times New Roman" w:hAnsi="Times New Roman" w:eastAsia="仿宋_GB2312" w:cs="Times New Roman"/>
          <w:snapToGrid/>
          <w:kern w:val="21"/>
          <w:sz w:val="32"/>
          <w:szCs w:val="32"/>
          <w:lang w:eastAsia="zh-CN"/>
        </w:rPr>
        <w:t>收入预算总额为</w:t>
      </w:r>
      <w:r>
        <w:rPr>
          <w:rFonts w:hint="eastAsia" w:ascii="Times New Roman" w:hAnsi="Times New Roman" w:eastAsia="仿宋_GB2312" w:cs="Times New Roman"/>
          <w:snapToGrid/>
          <w:kern w:val="21"/>
          <w:sz w:val="32"/>
          <w:szCs w:val="32"/>
          <w:lang w:eastAsia="zh-CN"/>
        </w:rPr>
        <w:t>35322.41</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eastAsia="zh-CN"/>
        </w:rPr>
        <w:t>1484.84</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eastAsia="zh-CN"/>
        </w:rPr>
        <w:t>4.39</w:t>
      </w:r>
      <w:r>
        <w:rPr>
          <w:rFonts w:ascii="Times New Roman" w:hAnsi="Times New Roman" w:eastAsia="仿宋_GB2312" w:cs="Times New Roman"/>
          <w:snapToGrid/>
          <w:kern w:val="21"/>
          <w:sz w:val="32"/>
          <w:szCs w:val="32"/>
          <w:lang w:eastAsia="zh-CN"/>
        </w:rPr>
        <w:t>%。其中：财政拨款收入</w:t>
      </w:r>
      <w:r>
        <w:rPr>
          <w:rFonts w:hint="eastAsia" w:ascii="Times New Roman" w:hAnsi="Times New Roman" w:eastAsia="仿宋_GB2312" w:cs="Times New Roman"/>
          <w:snapToGrid/>
          <w:kern w:val="21"/>
          <w:sz w:val="32"/>
          <w:szCs w:val="32"/>
          <w:lang w:eastAsia="zh-CN"/>
        </w:rPr>
        <w:t>6722.41</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占收入预算总额的19.03%，</w:t>
      </w:r>
      <w:r>
        <w:rPr>
          <w:rFonts w:ascii="Times New Roman" w:hAnsi="Times New Roman" w:eastAsia="仿宋_GB2312" w:cs="Times New Roman"/>
          <w:snapToGrid/>
          <w:kern w:val="21"/>
          <w:sz w:val="32"/>
          <w:szCs w:val="32"/>
          <w:lang w:eastAsia="zh-CN"/>
        </w:rPr>
        <w:t>较上年增加</w:t>
      </w:r>
      <w:r>
        <w:rPr>
          <w:rFonts w:hint="eastAsia" w:ascii="Times New Roman" w:hAnsi="Times New Roman" w:eastAsia="仿宋_GB2312" w:cs="Times New Roman"/>
          <w:snapToGrid/>
          <w:kern w:val="21"/>
          <w:sz w:val="32"/>
          <w:szCs w:val="32"/>
          <w:lang w:eastAsia="zh-CN"/>
        </w:rPr>
        <w:t>704.84</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eastAsia="zh-CN"/>
        </w:rPr>
        <w:t>11.71</w:t>
      </w:r>
      <w:r>
        <w:rPr>
          <w:rFonts w:ascii="Times New Roman" w:hAnsi="Times New Roman" w:eastAsia="仿宋_GB2312" w:cs="Times New Roman"/>
          <w:snapToGrid/>
          <w:kern w:val="21"/>
          <w:sz w:val="32"/>
          <w:szCs w:val="32"/>
          <w:lang w:eastAsia="zh-CN"/>
        </w:rPr>
        <w:t>%</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：人员经费增加</w:t>
      </w:r>
      <w:bookmarkStart w:id="0" w:name="_GoBack"/>
      <w:bookmarkEnd w:id="0"/>
      <w:r>
        <w:rPr>
          <w:rFonts w:ascii="Times New Roman" w:hAnsi="Times New Roman" w:eastAsia="仿宋_GB2312" w:cs="Times New Roman"/>
          <w:snapToGrid/>
          <w:kern w:val="21"/>
          <w:sz w:val="32"/>
          <w:szCs w:val="32"/>
          <w:lang w:eastAsia="zh-CN"/>
        </w:rPr>
        <w:t>。事业收入</w:t>
      </w:r>
      <w:r>
        <w:rPr>
          <w:rFonts w:hint="eastAsia" w:ascii="Times New Roman" w:hAnsi="Times New Roman" w:eastAsia="仿宋_GB2312" w:cs="Times New Roman"/>
          <w:snapToGrid/>
          <w:kern w:val="21"/>
          <w:sz w:val="32"/>
          <w:szCs w:val="32"/>
          <w:lang w:eastAsia="zh-CN"/>
        </w:rPr>
        <w:t>28600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占收入预算总额的80.97%，</w:t>
      </w:r>
      <w:r>
        <w:rPr>
          <w:rFonts w:ascii="Times New Roman" w:hAnsi="Times New Roman" w:eastAsia="仿宋_GB2312" w:cs="Times New Roman"/>
          <w:snapToGrid/>
          <w:kern w:val="21"/>
          <w:sz w:val="32"/>
          <w:szCs w:val="32"/>
          <w:lang w:eastAsia="zh-CN"/>
        </w:rPr>
        <w:t>较上年增加</w:t>
      </w:r>
      <w:r>
        <w:rPr>
          <w:rFonts w:hint="eastAsia" w:ascii="Times New Roman" w:hAnsi="Times New Roman" w:eastAsia="仿宋_GB2312" w:cs="Times New Roman"/>
          <w:snapToGrid/>
          <w:kern w:val="21"/>
          <w:sz w:val="32"/>
          <w:szCs w:val="32"/>
          <w:lang w:eastAsia="zh-CN"/>
        </w:rPr>
        <w:t>980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，主要原因是：本年医疗收入增加。</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（二）支出预算情况</w:t>
      </w:r>
    </w:p>
    <w:p>
      <w:pPr>
        <w:pStyle w:val="2"/>
        <w:widowControl w:val="0"/>
        <w:kinsoku/>
        <w:overflowPunct w:val="0"/>
        <w:topLinePunct/>
        <w:autoSpaceDE/>
        <w:autoSpaceDN/>
        <w:spacing w:line="560" w:lineRule="exact"/>
        <w:ind w:firstLine="64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w:t>
      </w:r>
      <w:r>
        <w:rPr>
          <w:rFonts w:hint="eastAsia" w:ascii="Times New Roman" w:hAnsi="Times New Roman" w:eastAsia="仿宋_GB2312" w:cs="Times New Roman"/>
          <w:snapToGrid/>
          <w:kern w:val="21"/>
          <w:sz w:val="32"/>
          <w:szCs w:val="32"/>
          <w:lang w:eastAsia="zh-CN"/>
        </w:rPr>
        <w:t>4</w:t>
      </w:r>
      <w:r>
        <w:rPr>
          <w:rFonts w:ascii="Times New Roman" w:hAnsi="Times New Roman" w:eastAsia="仿宋_GB2312" w:cs="Times New Roman"/>
          <w:snapToGrid/>
          <w:kern w:val="21"/>
          <w:sz w:val="32"/>
          <w:szCs w:val="32"/>
          <w:lang w:eastAsia="zh-CN"/>
        </w:rPr>
        <w:t>年</w:t>
      </w:r>
      <w:r>
        <w:rPr>
          <w:rFonts w:hint="eastAsia" w:ascii="Times New Roman" w:hAnsi="Times New Roman" w:eastAsia="仿宋_GB2312" w:cs="Times New Roman"/>
          <w:snapToGrid/>
          <w:kern w:val="21"/>
          <w:sz w:val="32"/>
          <w:szCs w:val="32"/>
          <w:lang w:eastAsia="zh-CN"/>
        </w:rPr>
        <w:t>新建区人民医院</w:t>
      </w:r>
      <w:r>
        <w:rPr>
          <w:rFonts w:ascii="Times New Roman" w:hAnsi="Times New Roman" w:eastAsia="仿宋_GB2312" w:cs="Times New Roman"/>
          <w:snapToGrid/>
          <w:kern w:val="21"/>
          <w:sz w:val="32"/>
          <w:szCs w:val="32"/>
          <w:lang w:eastAsia="zh-CN"/>
        </w:rPr>
        <w:t>支出预算总额为</w:t>
      </w:r>
      <w:r>
        <w:rPr>
          <w:rFonts w:hint="eastAsia" w:ascii="Times New Roman" w:hAnsi="Times New Roman" w:eastAsia="仿宋_GB2312" w:cs="Times New Roman"/>
          <w:snapToGrid/>
          <w:kern w:val="21"/>
          <w:sz w:val="32"/>
          <w:szCs w:val="32"/>
          <w:lang w:eastAsia="zh-CN"/>
        </w:rPr>
        <w:t>35322.41</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eastAsia="zh-CN"/>
        </w:rPr>
        <w:t>1484.84</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4.39%</w:t>
      </w:r>
      <w:r>
        <w:rPr>
          <w:rFonts w:ascii="Times New Roman" w:hAnsi="Times New Roman" w:eastAsia="仿宋_GB2312" w:cs="Times New Roman"/>
          <w:snapToGrid/>
          <w:kern w:val="21"/>
          <w:sz w:val="32"/>
          <w:szCs w:val="32"/>
          <w:lang w:eastAsia="zh-CN"/>
        </w:rPr>
        <w:t>。</w:t>
      </w:r>
      <w:r>
        <w:rPr>
          <w:rFonts w:hint="eastAsia" w:ascii="Times New Roman" w:hAnsi="Times New Roman" w:eastAsia="仿宋_GB2312" w:cs="Times New Roman"/>
          <w:snapToGrid/>
          <w:kern w:val="21"/>
          <w:sz w:val="32"/>
          <w:szCs w:val="32"/>
          <w:lang w:eastAsia="zh-CN"/>
        </w:rPr>
        <w:t>主要原因是：本年医疗费用增加。</w:t>
      </w:r>
      <w:r>
        <w:rPr>
          <w:rFonts w:ascii="Times New Roman" w:hAnsi="Times New Roman" w:eastAsia="仿宋_GB2312" w:cs="Times New Roman"/>
          <w:snapToGrid/>
          <w:kern w:val="21"/>
          <w:sz w:val="32"/>
          <w:szCs w:val="32"/>
          <w:lang w:eastAsia="zh-CN"/>
        </w:rPr>
        <w:t>其中：</w:t>
      </w:r>
    </w:p>
    <w:p>
      <w:pPr>
        <w:pStyle w:val="2"/>
        <w:widowControl w:val="0"/>
        <w:kinsoku/>
        <w:overflowPunct w:val="0"/>
        <w:topLinePunct/>
        <w:autoSpaceDE/>
        <w:autoSpaceDN/>
        <w:spacing w:line="560" w:lineRule="exact"/>
        <w:ind w:firstLine="6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按支出项目类别划分：基本支出</w:t>
      </w:r>
      <w:r>
        <w:rPr>
          <w:rFonts w:hint="eastAsia" w:ascii="Times New Roman" w:hAnsi="Times New Roman" w:eastAsia="仿宋_GB2312" w:cs="Times New Roman"/>
          <w:snapToGrid/>
          <w:kern w:val="21"/>
          <w:sz w:val="32"/>
          <w:szCs w:val="32"/>
          <w:lang w:eastAsia="zh-CN"/>
        </w:rPr>
        <w:t>6722.41</w:t>
      </w:r>
      <w:r>
        <w:rPr>
          <w:rFonts w:ascii="Times New Roman" w:hAnsi="Times New Roman" w:eastAsia="仿宋_GB2312" w:cs="Times New Roman"/>
          <w:snapToGrid/>
          <w:kern w:val="21"/>
          <w:sz w:val="32"/>
          <w:szCs w:val="32"/>
          <w:lang w:eastAsia="zh-CN"/>
        </w:rPr>
        <w:t>万元，其中：工资福利支出</w:t>
      </w:r>
      <w:r>
        <w:rPr>
          <w:rFonts w:hint="eastAsia" w:ascii="Times New Roman" w:hAnsi="Times New Roman" w:eastAsia="仿宋_GB2312" w:cs="Times New Roman"/>
          <w:snapToGrid/>
          <w:kern w:val="21"/>
          <w:sz w:val="32"/>
          <w:szCs w:val="32"/>
          <w:lang w:eastAsia="zh-CN"/>
        </w:rPr>
        <w:t>6635.09</w:t>
      </w:r>
      <w:r>
        <w:rPr>
          <w:rFonts w:ascii="Times New Roman" w:hAnsi="Times New Roman" w:eastAsia="仿宋_GB2312" w:cs="Times New Roman"/>
          <w:snapToGrid/>
          <w:kern w:val="21"/>
          <w:sz w:val="32"/>
          <w:szCs w:val="32"/>
          <w:lang w:eastAsia="zh-CN"/>
        </w:rPr>
        <w:t>万元、商品和服务支出</w:t>
      </w:r>
      <w:r>
        <w:rPr>
          <w:rFonts w:hint="eastAsia" w:ascii="Times New Roman" w:hAnsi="Times New Roman" w:eastAsia="仿宋_GB2312" w:cs="Times New Roman"/>
          <w:snapToGrid/>
          <w:kern w:val="21"/>
          <w:sz w:val="32"/>
          <w:szCs w:val="32"/>
          <w:lang w:eastAsia="zh-CN"/>
        </w:rPr>
        <w:t>72.01</w:t>
      </w:r>
      <w:r>
        <w:rPr>
          <w:rFonts w:ascii="Times New Roman" w:hAnsi="Times New Roman" w:eastAsia="仿宋_GB2312" w:cs="Times New Roman"/>
          <w:snapToGrid/>
          <w:kern w:val="21"/>
          <w:sz w:val="32"/>
          <w:szCs w:val="32"/>
          <w:lang w:eastAsia="zh-CN"/>
        </w:rPr>
        <w:t>万元、对个人和家庭的补助</w:t>
      </w:r>
      <w:r>
        <w:rPr>
          <w:rFonts w:hint="eastAsia" w:ascii="Times New Roman" w:hAnsi="Times New Roman" w:eastAsia="仿宋_GB2312" w:cs="Times New Roman"/>
          <w:snapToGrid/>
          <w:kern w:val="21"/>
          <w:sz w:val="32"/>
          <w:szCs w:val="32"/>
          <w:lang w:eastAsia="zh-CN"/>
        </w:rPr>
        <w:t>15.31</w:t>
      </w:r>
      <w:r>
        <w:rPr>
          <w:rFonts w:ascii="Times New Roman" w:hAnsi="Times New Roman" w:eastAsia="仿宋_GB2312" w:cs="Times New Roman"/>
          <w:snapToGrid/>
          <w:kern w:val="21"/>
          <w:sz w:val="32"/>
          <w:szCs w:val="32"/>
          <w:lang w:eastAsia="zh-CN"/>
        </w:rPr>
        <w:t>万元；项目支出</w:t>
      </w:r>
      <w:r>
        <w:rPr>
          <w:rFonts w:hint="eastAsia" w:ascii="Times New Roman" w:hAnsi="Times New Roman" w:eastAsia="仿宋_GB2312" w:cs="Times New Roman"/>
          <w:snapToGrid/>
          <w:kern w:val="21"/>
          <w:sz w:val="32"/>
          <w:szCs w:val="32"/>
          <w:lang w:eastAsia="zh-CN"/>
        </w:rPr>
        <w:t>28600</w:t>
      </w:r>
      <w:r>
        <w:rPr>
          <w:rFonts w:ascii="Times New Roman" w:hAnsi="Times New Roman" w:eastAsia="仿宋_GB2312" w:cs="Times New Roman"/>
          <w:snapToGrid/>
          <w:kern w:val="21"/>
          <w:sz w:val="32"/>
          <w:szCs w:val="32"/>
          <w:lang w:eastAsia="zh-CN"/>
        </w:rPr>
        <w:t>万元，其中：商品和服务支出</w:t>
      </w:r>
      <w:r>
        <w:rPr>
          <w:rFonts w:hint="eastAsia" w:ascii="Times New Roman" w:hAnsi="Times New Roman" w:eastAsia="仿宋_GB2312" w:cs="Times New Roman"/>
          <w:snapToGrid/>
          <w:kern w:val="21"/>
          <w:sz w:val="32"/>
          <w:szCs w:val="32"/>
          <w:lang w:eastAsia="zh-CN"/>
        </w:rPr>
        <w:t>10047.9</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，资本性支出18552.1万元</w:t>
      </w:r>
      <w:r>
        <w:rPr>
          <w:rFonts w:ascii="Times New Roman" w:hAnsi="Times New Roman" w:eastAsia="仿宋_GB2312" w:cs="Times New Roman"/>
          <w:snapToGrid/>
          <w:kern w:val="21"/>
          <w:sz w:val="32"/>
          <w:szCs w:val="32"/>
          <w:lang w:eastAsia="zh-CN"/>
        </w:rPr>
        <w:t xml:space="preserve">。 </w:t>
      </w:r>
    </w:p>
    <w:p>
      <w:pPr>
        <w:pStyle w:val="2"/>
        <w:widowControl w:val="0"/>
        <w:kinsoku/>
        <w:overflowPunct w:val="0"/>
        <w:topLinePunct/>
        <w:autoSpaceDE/>
        <w:autoSpaceDN/>
        <w:spacing w:line="560" w:lineRule="exact"/>
        <w:ind w:firstLine="64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按支出经济分类划分：工资福利支出</w:t>
      </w:r>
      <w:r>
        <w:rPr>
          <w:rFonts w:hint="eastAsia" w:ascii="Times New Roman" w:hAnsi="Times New Roman" w:eastAsia="仿宋_GB2312" w:cs="Times New Roman"/>
          <w:snapToGrid/>
          <w:kern w:val="21"/>
          <w:sz w:val="32"/>
          <w:szCs w:val="32"/>
          <w:lang w:eastAsia="zh-CN"/>
        </w:rPr>
        <w:t>6635.09</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社会福利和救助13.78万元，</w:t>
      </w:r>
      <w:r>
        <w:rPr>
          <w:rFonts w:ascii="Times New Roman" w:hAnsi="Times New Roman" w:eastAsia="仿宋_GB2312" w:cs="Times New Roman"/>
          <w:snapToGrid/>
          <w:kern w:val="21"/>
          <w:sz w:val="32"/>
          <w:szCs w:val="32"/>
          <w:lang w:eastAsia="zh-CN"/>
        </w:rPr>
        <w:t>商品和服务支出</w:t>
      </w:r>
      <w:r>
        <w:rPr>
          <w:rFonts w:hint="eastAsia" w:ascii="Times New Roman" w:hAnsi="Times New Roman" w:eastAsia="仿宋_GB2312" w:cs="Times New Roman"/>
          <w:snapToGrid/>
          <w:kern w:val="21"/>
          <w:sz w:val="32"/>
          <w:szCs w:val="32"/>
          <w:lang w:eastAsia="zh-CN"/>
        </w:rPr>
        <w:t>10119.91</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资本性支出18552.1万元，其他对个人和家庭补助1.53万元。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（三）财政拨款支出情况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新建区人民医院</w:t>
      </w:r>
      <w:r>
        <w:rPr>
          <w:rFonts w:ascii="Times New Roman" w:hAnsi="Times New Roman" w:eastAsia="仿宋_GB2312" w:cs="Times New Roman"/>
          <w:snapToGrid/>
          <w:kern w:val="21"/>
          <w:sz w:val="32"/>
          <w:szCs w:val="32"/>
          <w:lang w:eastAsia="zh-CN"/>
        </w:rPr>
        <w:t>财政拨款支出预算</w:t>
      </w:r>
      <w:r>
        <w:rPr>
          <w:rFonts w:hint="eastAsia" w:ascii="Times New Roman" w:hAnsi="Times New Roman" w:eastAsia="仿宋_GB2312" w:cs="Times New Roman"/>
          <w:snapToGrid/>
          <w:kern w:val="21"/>
          <w:sz w:val="32"/>
          <w:szCs w:val="32"/>
          <w:lang w:eastAsia="zh-CN"/>
        </w:rPr>
        <w:t>6722.41</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eastAsia="zh-CN"/>
        </w:rPr>
        <w:t>704.84</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eastAsia="zh-CN"/>
        </w:rPr>
        <w:t>11.71</w:t>
      </w:r>
      <w:r>
        <w:rPr>
          <w:rFonts w:ascii="Times New Roman" w:hAnsi="Times New Roman" w:eastAsia="仿宋_GB2312" w:cs="Times New Roman"/>
          <w:snapToGrid/>
          <w:kern w:val="21"/>
          <w:sz w:val="32"/>
          <w:szCs w:val="32"/>
          <w:lang w:eastAsia="zh-CN"/>
        </w:rPr>
        <w:t>%</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：人员经费增加</w:t>
      </w:r>
      <w:r>
        <w:rPr>
          <w:rFonts w:ascii="Times New Roman" w:hAnsi="Times New Roman" w:eastAsia="仿宋_GB2312" w:cs="Times New Roman"/>
          <w:snapToGrid/>
          <w:kern w:val="21"/>
          <w:sz w:val="32"/>
          <w:szCs w:val="32"/>
          <w:lang w:eastAsia="zh-CN"/>
        </w:rPr>
        <w:t>。</w:t>
      </w:r>
    </w:p>
    <w:p>
      <w:pPr>
        <w:pStyle w:val="2"/>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按支出功能科目划分：</w:t>
      </w:r>
      <w:r>
        <w:rPr>
          <w:rFonts w:hint="eastAsia" w:ascii="Times New Roman" w:hAnsi="Times New Roman" w:eastAsia="仿宋_GB2312" w:cs="Times New Roman"/>
          <w:snapToGrid/>
          <w:kern w:val="21"/>
          <w:sz w:val="32"/>
          <w:szCs w:val="32"/>
          <w:lang w:eastAsia="zh-CN"/>
        </w:rPr>
        <w:t>社会保障和就业支出953.79万元，卫生健康支出5227.56万元，住房保障支出541.06万元。</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按支出项目类别划分：基本支出</w:t>
      </w:r>
      <w:r>
        <w:rPr>
          <w:rFonts w:hint="eastAsia" w:ascii="Times New Roman" w:hAnsi="Times New Roman" w:eastAsia="仿宋_GB2312" w:cs="Times New Roman"/>
          <w:snapToGrid/>
          <w:kern w:val="21"/>
          <w:sz w:val="32"/>
          <w:szCs w:val="32"/>
          <w:lang w:eastAsia="zh-CN"/>
        </w:rPr>
        <w:t>6722.41</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eastAsia="zh-CN"/>
        </w:rPr>
        <w:t>704.84</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eastAsia="zh-CN"/>
        </w:rPr>
        <w:t>11.71</w:t>
      </w:r>
      <w:r>
        <w:rPr>
          <w:rFonts w:ascii="Times New Roman" w:hAnsi="Times New Roman" w:eastAsia="仿宋_GB2312" w:cs="Times New Roman"/>
          <w:snapToGrid/>
          <w:kern w:val="21"/>
          <w:sz w:val="32"/>
          <w:szCs w:val="32"/>
          <w:lang w:eastAsia="zh-CN"/>
        </w:rPr>
        <w:t>%</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：人员经费增加</w:t>
      </w:r>
      <w:r>
        <w:rPr>
          <w:rFonts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（四）政府性基金情况</w:t>
      </w:r>
    </w:p>
    <w:p>
      <w:pPr>
        <w:pStyle w:val="2"/>
        <w:widowControl w:val="0"/>
        <w:kinsoku/>
        <w:overflowPunct w:val="0"/>
        <w:topLinePunct/>
        <w:autoSpaceDE/>
        <w:autoSpaceDN/>
        <w:spacing w:line="560" w:lineRule="exact"/>
        <w:ind w:firstLine="63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本单位没有使用政府性基金预算拨款安排的支出</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（五）国有资本经营情况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本单位没有使用国有资本经营预算拨款安排的支出</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（六）机关运行经费等重要情况说明</w:t>
      </w:r>
    </w:p>
    <w:p>
      <w:pPr>
        <w:pStyle w:val="2"/>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本单位非行政参公单位，无机关运行经费</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（七）政府采购情况说明</w:t>
      </w:r>
    </w:p>
    <w:p>
      <w:pPr>
        <w:spacing w:line="560" w:lineRule="exact"/>
        <w:ind w:firstLine="640" w:firstLineChars="200"/>
        <w:rPr>
          <w:rFonts w:ascii="Times New Roman" w:hAnsi="Times New Roman" w:eastAsia="仿宋_GB2312"/>
          <w:spacing w:val="10"/>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新建区人民医院</w:t>
      </w:r>
      <w:r>
        <w:rPr>
          <w:rFonts w:ascii="Times New Roman" w:hAnsi="Times New Roman" w:eastAsia="仿宋_GB2312" w:cs="Times New Roman"/>
          <w:snapToGrid/>
          <w:kern w:val="21"/>
          <w:sz w:val="32"/>
          <w:szCs w:val="32"/>
          <w:lang w:eastAsia="zh-CN"/>
        </w:rPr>
        <w:t>政府采购预算总额</w:t>
      </w:r>
      <w:r>
        <w:rPr>
          <w:rFonts w:hint="eastAsia" w:ascii="Times New Roman" w:hAnsi="Times New Roman" w:eastAsia="仿宋_GB2312" w:cs="Times New Roman"/>
          <w:snapToGrid/>
          <w:kern w:val="21"/>
          <w:sz w:val="32"/>
          <w:szCs w:val="32"/>
          <w:lang w:eastAsia="zh-CN"/>
        </w:rPr>
        <w:t>18552.1</w:t>
      </w:r>
      <w:r>
        <w:rPr>
          <w:rFonts w:ascii="Times New Roman" w:hAnsi="Times New Roman" w:eastAsia="仿宋_GB2312" w:cs="Times New Roman"/>
          <w:snapToGrid/>
          <w:kern w:val="21"/>
          <w:sz w:val="32"/>
          <w:szCs w:val="32"/>
          <w:lang w:eastAsia="zh-CN"/>
        </w:rPr>
        <w:t>万元。其中，</w:t>
      </w:r>
      <w:r>
        <w:rPr>
          <w:rFonts w:hint="eastAsia" w:ascii="Times New Roman" w:hAnsi="Times New Roman" w:eastAsia="仿宋_GB2312" w:cs="仿宋_GB2312"/>
          <w:spacing w:val="10"/>
          <w:sz w:val="32"/>
          <w:szCs w:val="32"/>
          <w:lang w:eastAsia="zh-CN"/>
        </w:rPr>
        <w:t>其中：政府采购医疗专用设备预算</w:t>
      </w:r>
      <w:r>
        <w:rPr>
          <w:rFonts w:ascii="Times New Roman" w:hAnsi="Times New Roman" w:eastAsia="仿宋_GB2312" w:cs="Times New Roman"/>
          <w:spacing w:val="10"/>
          <w:sz w:val="32"/>
          <w:szCs w:val="32"/>
          <w:lang w:eastAsia="zh-CN"/>
        </w:rPr>
        <w:t xml:space="preserve"> </w:t>
      </w:r>
      <w:r>
        <w:rPr>
          <w:rFonts w:hint="eastAsia" w:ascii="Times New Roman" w:hAnsi="Times New Roman" w:eastAsia="仿宋_GB2312" w:cs="Times New Roman"/>
          <w:spacing w:val="10"/>
          <w:sz w:val="32"/>
          <w:szCs w:val="32"/>
          <w:lang w:eastAsia="zh-CN"/>
        </w:rPr>
        <w:t>10852.1</w:t>
      </w:r>
      <w:r>
        <w:rPr>
          <w:rFonts w:hint="eastAsia" w:ascii="Times New Roman" w:hAnsi="Times New Roman" w:eastAsia="仿宋_GB2312" w:cs="仿宋_GB2312"/>
          <w:spacing w:val="10"/>
          <w:sz w:val="32"/>
          <w:szCs w:val="32"/>
          <w:lang w:eastAsia="zh-CN"/>
        </w:rPr>
        <w:t>万元、政府采购车辆预算</w:t>
      </w:r>
      <w:r>
        <w:rPr>
          <w:rFonts w:ascii="Times New Roman" w:hAnsi="Times New Roman" w:eastAsia="仿宋_GB2312" w:cs="Times New Roman"/>
          <w:spacing w:val="10"/>
          <w:sz w:val="32"/>
          <w:szCs w:val="32"/>
          <w:lang w:eastAsia="zh-CN"/>
        </w:rPr>
        <w:t xml:space="preserve"> </w:t>
      </w:r>
      <w:r>
        <w:rPr>
          <w:rFonts w:hint="eastAsia" w:ascii="Times New Roman" w:hAnsi="Times New Roman" w:eastAsia="仿宋_GB2312" w:cs="Times New Roman"/>
          <w:spacing w:val="10"/>
          <w:sz w:val="32"/>
          <w:szCs w:val="32"/>
          <w:lang w:eastAsia="zh-CN"/>
        </w:rPr>
        <w:t>0</w:t>
      </w:r>
      <w:r>
        <w:rPr>
          <w:rFonts w:ascii="Times New Roman" w:hAnsi="Times New Roman" w:eastAsia="仿宋_GB2312" w:cs="Times New Roman"/>
          <w:spacing w:val="10"/>
          <w:sz w:val="32"/>
          <w:szCs w:val="32"/>
          <w:lang w:eastAsia="zh-CN"/>
        </w:rPr>
        <w:t xml:space="preserve"> </w:t>
      </w:r>
      <w:r>
        <w:rPr>
          <w:rFonts w:hint="eastAsia" w:ascii="Times New Roman" w:hAnsi="Times New Roman" w:eastAsia="仿宋_GB2312" w:cs="仿宋_GB2312"/>
          <w:spacing w:val="10"/>
          <w:sz w:val="32"/>
          <w:szCs w:val="32"/>
          <w:lang w:eastAsia="zh-CN"/>
        </w:rPr>
        <w:t>万元、政府采购信息设备5000万、政府采购办公设备及其他2700万元。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（八）国有资产占有使用情况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截至2023年</w:t>
      </w:r>
      <w:r>
        <w:rPr>
          <w:rFonts w:hint="eastAsia" w:ascii="Times New Roman" w:hAnsi="Times New Roman" w:eastAsia="仿宋_GB2312" w:cs="Times New Roman"/>
          <w:snapToGrid/>
          <w:kern w:val="21"/>
          <w:sz w:val="32"/>
          <w:szCs w:val="32"/>
          <w:lang w:eastAsia="zh-CN"/>
        </w:rPr>
        <w:t>12</w:t>
      </w:r>
      <w:r>
        <w:rPr>
          <w:rFonts w:ascii="Times New Roman" w:hAnsi="Times New Roman" w:eastAsia="仿宋_GB2312" w:cs="Times New Roman"/>
          <w:snapToGrid/>
          <w:kern w:val="21"/>
          <w:sz w:val="32"/>
          <w:szCs w:val="32"/>
          <w:lang w:eastAsia="zh-CN"/>
        </w:rPr>
        <w:t>月31日，单位共有车辆</w:t>
      </w:r>
      <w:r>
        <w:rPr>
          <w:rFonts w:hint="eastAsia" w:ascii="Times New Roman" w:hAnsi="Times New Roman" w:eastAsia="仿宋_GB2312" w:cs="Times New Roman"/>
          <w:snapToGrid/>
          <w:kern w:val="21"/>
          <w:sz w:val="32"/>
          <w:szCs w:val="32"/>
          <w:lang w:eastAsia="zh-CN"/>
        </w:rPr>
        <w:t>18</w:t>
      </w:r>
      <w:r>
        <w:rPr>
          <w:rFonts w:ascii="Times New Roman" w:hAnsi="Times New Roman" w:eastAsia="仿宋_GB2312" w:cs="Times New Roman"/>
          <w:snapToGrid/>
          <w:kern w:val="21"/>
          <w:sz w:val="32"/>
          <w:szCs w:val="32"/>
          <w:lang w:eastAsia="zh-CN"/>
        </w:rPr>
        <w:t>辆，其中，一般公务用车实有数</w:t>
      </w:r>
      <w:r>
        <w:rPr>
          <w:rFonts w:hint="eastAsia" w:ascii="Times New Roman" w:hAnsi="Times New Roman" w:eastAsia="仿宋_GB2312" w:cs="Times New Roman"/>
          <w:snapToGrid/>
          <w:kern w:val="21"/>
          <w:sz w:val="32"/>
          <w:szCs w:val="32"/>
          <w:lang w:eastAsia="zh-CN"/>
        </w:rPr>
        <w:t>0</w:t>
      </w:r>
      <w:r>
        <w:rPr>
          <w:rFonts w:ascii="Times New Roman" w:hAnsi="Times New Roman" w:eastAsia="仿宋_GB2312" w:cs="Times New Roman"/>
          <w:snapToGrid/>
          <w:kern w:val="21"/>
          <w:sz w:val="32"/>
          <w:szCs w:val="32"/>
          <w:lang w:eastAsia="zh-CN"/>
        </w:rPr>
        <w:t>辆。2024年单位预算安排购置车辆</w:t>
      </w:r>
      <w:r>
        <w:rPr>
          <w:rFonts w:hint="eastAsia" w:ascii="Times New Roman" w:hAnsi="Times New Roman" w:eastAsia="仿宋_GB2312" w:cs="Times New Roman"/>
          <w:snapToGrid/>
          <w:kern w:val="21"/>
          <w:sz w:val="32"/>
          <w:szCs w:val="32"/>
          <w:lang w:eastAsia="zh-CN"/>
        </w:rPr>
        <w:t>0</w:t>
      </w:r>
      <w:r>
        <w:rPr>
          <w:rFonts w:ascii="Times New Roman" w:hAnsi="Times New Roman" w:eastAsia="仿宋_GB2312" w:cs="Times New Roman"/>
          <w:snapToGrid/>
          <w:kern w:val="21"/>
          <w:sz w:val="32"/>
          <w:szCs w:val="32"/>
          <w:lang w:eastAsia="zh-CN"/>
        </w:rPr>
        <w:t>辆，单位共有车辆</w:t>
      </w:r>
      <w:r>
        <w:rPr>
          <w:rFonts w:hint="eastAsia" w:ascii="Times New Roman" w:hAnsi="Times New Roman" w:eastAsia="仿宋_GB2312" w:cs="Times New Roman"/>
          <w:snapToGrid/>
          <w:kern w:val="21"/>
          <w:sz w:val="32"/>
          <w:szCs w:val="32"/>
          <w:lang w:eastAsia="zh-CN"/>
        </w:rPr>
        <w:t>18</w:t>
      </w:r>
      <w:r>
        <w:rPr>
          <w:rFonts w:ascii="Times New Roman" w:hAnsi="Times New Roman" w:eastAsia="仿宋_GB2312" w:cs="Times New Roman"/>
          <w:snapToGrid/>
          <w:kern w:val="21"/>
          <w:sz w:val="32"/>
          <w:szCs w:val="32"/>
          <w:lang w:eastAsia="zh-CN"/>
        </w:rPr>
        <w:t>辆</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（九）项目情况说明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如果本单位没有项目，请说明“本单位本年度未安排项目</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二、2024年“三公”经费预算情况说明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新建区人民医院</w:t>
      </w:r>
      <w:r>
        <w:rPr>
          <w:rFonts w:ascii="Times New Roman" w:hAnsi="Times New Roman" w:eastAsia="仿宋_GB2312" w:cs="Times New Roman"/>
          <w:snapToGrid/>
          <w:kern w:val="21"/>
          <w:sz w:val="32"/>
          <w:szCs w:val="32"/>
          <w:lang w:eastAsia="zh-CN"/>
        </w:rPr>
        <w:t>“三公”经费财政拨款安排</w:t>
      </w:r>
      <w:r>
        <w:rPr>
          <w:rFonts w:hint="eastAsia" w:ascii="Times New Roman" w:hAnsi="Times New Roman" w:eastAsia="仿宋_GB2312" w:cs="Times New Roman"/>
          <w:snapToGrid/>
          <w:kern w:val="21"/>
          <w:sz w:val="32"/>
          <w:szCs w:val="32"/>
          <w:lang w:eastAsia="zh-CN"/>
        </w:rPr>
        <w:t>41</w:t>
      </w:r>
      <w:r>
        <w:rPr>
          <w:rFonts w:ascii="Times New Roman" w:hAnsi="Times New Roman" w:eastAsia="仿宋_GB2312" w:cs="Times New Roman"/>
          <w:snapToGrid/>
          <w:kern w:val="21"/>
          <w:sz w:val="32"/>
          <w:szCs w:val="32"/>
          <w:lang w:eastAsia="zh-CN"/>
        </w:rPr>
        <w:t>万元。</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其中：</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1.公务接待费</w:t>
      </w:r>
      <w:r>
        <w:rPr>
          <w:rFonts w:hint="eastAsia" w:ascii="Times New Roman" w:hAnsi="Times New Roman" w:eastAsia="仿宋_GB2312" w:cs="Times New Roman"/>
          <w:snapToGrid/>
          <w:kern w:val="21"/>
          <w:sz w:val="32"/>
          <w:szCs w:val="32"/>
          <w:lang w:eastAsia="zh-CN"/>
        </w:rPr>
        <w:t>16</w:t>
      </w:r>
      <w:r>
        <w:rPr>
          <w:rFonts w:ascii="Times New Roman" w:hAnsi="Times New Roman" w:eastAsia="仿宋_GB2312" w:cs="Times New Roman"/>
          <w:snapToGrid/>
          <w:kern w:val="21"/>
          <w:sz w:val="32"/>
          <w:szCs w:val="32"/>
          <w:lang w:eastAsia="zh-CN"/>
        </w:rPr>
        <w:t>万元，比上年</w:t>
      </w:r>
      <w:r>
        <w:rPr>
          <w:rFonts w:hint="eastAsia" w:ascii="Times New Roman" w:hAnsi="Times New Roman" w:eastAsia="仿宋_GB2312" w:cs="Times New Roman"/>
          <w:snapToGrid/>
          <w:kern w:val="21"/>
          <w:sz w:val="32"/>
          <w:szCs w:val="32"/>
          <w:lang w:eastAsia="zh-CN"/>
        </w:rPr>
        <w:t>减少9.56</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主要原因是：公务接待次数减少</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2.公务用车运行维护费</w:t>
      </w:r>
      <w:r>
        <w:rPr>
          <w:rFonts w:hint="eastAsia" w:ascii="Times New Roman" w:hAnsi="Times New Roman" w:eastAsia="仿宋_GB2312" w:cs="Times New Roman"/>
          <w:snapToGrid/>
          <w:kern w:val="21"/>
          <w:sz w:val="32"/>
          <w:szCs w:val="32"/>
          <w:lang w:eastAsia="zh-CN"/>
        </w:rPr>
        <w:t>25</w:t>
      </w:r>
      <w:r>
        <w:rPr>
          <w:rFonts w:ascii="Times New Roman" w:hAnsi="Times New Roman" w:eastAsia="仿宋_GB2312" w:cs="Times New Roman"/>
          <w:snapToGrid/>
          <w:kern w:val="21"/>
          <w:sz w:val="32"/>
          <w:szCs w:val="32"/>
          <w:lang w:eastAsia="zh-CN"/>
        </w:rPr>
        <w:t>万元，比上年</w:t>
      </w:r>
      <w:r>
        <w:rPr>
          <w:rFonts w:hint="eastAsia" w:ascii="Times New Roman" w:hAnsi="Times New Roman" w:eastAsia="仿宋_GB2312" w:cs="Times New Roman"/>
          <w:snapToGrid/>
          <w:kern w:val="21"/>
          <w:sz w:val="32"/>
          <w:szCs w:val="32"/>
          <w:lang w:eastAsia="zh-CN"/>
        </w:rPr>
        <w:t>增加5</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主要原因是：增加了公务用车</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总体是在去年的基础上下调了10%。</w:t>
      </w:r>
    </w:p>
    <w:p>
      <w:pPr>
        <w:widowControl w:val="0"/>
        <w:kinsoku/>
        <w:overflowPunct w:val="0"/>
        <w:topLinePunct/>
        <w:autoSpaceDE/>
        <w:autoSpaceDN/>
        <w:spacing w:line="560" w:lineRule="exact"/>
        <w:jc w:val="center"/>
        <w:rPr>
          <w:rFonts w:ascii="黑体" w:hAnsi="黑体" w:eastAsia="黑体" w:cs="黑体"/>
          <w:snapToGrid/>
          <w:kern w:val="21"/>
          <w:sz w:val="32"/>
          <w:szCs w:val="32"/>
          <w:lang w:eastAsia="zh-CN"/>
        </w:rPr>
      </w:pPr>
      <w:r>
        <w:rPr>
          <w:rFonts w:hint="eastAsia" w:ascii="黑体" w:hAnsi="黑体" w:eastAsia="黑体" w:cs="黑体"/>
          <w:b/>
          <w:bCs/>
          <w:snapToGrid/>
          <w:kern w:val="21"/>
          <w:sz w:val="32"/>
          <w:szCs w:val="32"/>
          <w:lang w:eastAsia="zh-CN"/>
        </w:rPr>
        <w:t>第四部分 名词解释</w:t>
      </w:r>
    </w:p>
    <w:p>
      <w:pPr>
        <w:widowControl w:val="0"/>
        <w:kinsoku/>
        <w:overflowPunct w:val="0"/>
        <w:topLinePunct/>
        <w:autoSpaceDE/>
        <w:autoSpaceDN/>
        <w:spacing w:line="560" w:lineRule="exact"/>
        <w:jc w:val="both"/>
        <w:rPr>
          <w:rFonts w:ascii="黑体" w:hAnsi="黑体" w:eastAsia="黑体" w:cs="黑体"/>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一、收入科目</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（一）财政拨款：</w:t>
      </w:r>
      <w:r>
        <w:rPr>
          <w:rFonts w:ascii="Times New Roman" w:hAnsi="Times New Roman" w:eastAsia="仿宋_GB2312" w:cs="Times New Roman"/>
          <w:snapToGrid/>
          <w:kern w:val="21"/>
          <w:sz w:val="32"/>
          <w:szCs w:val="32"/>
          <w:lang w:eastAsia="zh-CN"/>
        </w:rPr>
        <w:t>指区级财政当年拨付的资金。</w:t>
      </w:r>
    </w:p>
    <w:p>
      <w:pPr>
        <w:pStyle w:val="2"/>
        <w:widowControl w:val="0"/>
        <w:kinsoku/>
        <w:overflowPunct w:val="0"/>
        <w:topLinePunct/>
        <w:autoSpaceDE/>
        <w:autoSpaceDN/>
        <w:spacing w:line="560" w:lineRule="exact"/>
        <w:ind w:firstLine="67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（二）教育收费资金收入：</w:t>
      </w:r>
      <w:r>
        <w:rPr>
          <w:rFonts w:ascii="Times New Roman" w:hAnsi="Times New Roman" w:eastAsia="仿宋_GB2312" w:cs="Times New Roman"/>
          <w:snapToGrid/>
          <w:kern w:val="21"/>
          <w:sz w:val="32"/>
          <w:szCs w:val="32"/>
          <w:lang w:eastAsia="zh-CN"/>
        </w:rPr>
        <w:t>指实行专项管理的高中以上学费、住宿费，高校委托培养费，函大、电大、夜大及短训班培训费等教育收费取得的收入。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（三）事业收入：</w:t>
      </w:r>
      <w:r>
        <w:rPr>
          <w:rFonts w:ascii="Times New Roman" w:hAnsi="Times New Roman" w:eastAsia="仿宋_GB2312" w:cs="Times New Roman"/>
          <w:snapToGrid/>
          <w:kern w:val="21"/>
          <w:sz w:val="32"/>
          <w:szCs w:val="32"/>
          <w:lang w:eastAsia="zh-CN"/>
        </w:rPr>
        <w:t>指事业单位开展专业业务活动及辅助活动取得的收入。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（四）事业单位经营收入：</w:t>
      </w:r>
      <w:r>
        <w:rPr>
          <w:rFonts w:ascii="Times New Roman" w:hAnsi="Times New Roman" w:eastAsia="仿宋_GB2312" w:cs="Times New Roman"/>
          <w:snapToGrid/>
          <w:kern w:val="21"/>
          <w:sz w:val="32"/>
          <w:szCs w:val="32"/>
          <w:lang w:eastAsia="zh-CN"/>
        </w:rPr>
        <w:t>指事业单位在专业业务活动及辅助活动之外开展非独立核算经营活动取得的收入。</w:t>
      </w:r>
    </w:p>
    <w:p>
      <w:pPr>
        <w:pStyle w:val="2"/>
        <w:widowControl w:val="0"/>
        <w:kinsoku/>
        <w:overflowPunct w:val="0"/>
        <w:topLinePunct/>
        <w:autoSpaceDE/>
        <w:autoSpaceDN/>
        <w:spacing w:line="560" w:lineRule="exact"/>
        <w:ind w:firstLine="67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（五）附属单位上缴收入：</w:t>
      </w:r>
      <w:r>
        <w:rPr>
          <w:rFonts w:ascii="Times New Roman" w:hAnsi="Times New Roman" w:eastAsia="仿宋_GB2312" w:cs="Times New Roman"/>
          <w:snapToGrid/>
          <w:kern w:val="21"/>
          <w:sz w:val="32"/>
          <w:szCs w:val="32"/>
          <w:lang w:eastAsia="zh-CN"/>
        </w:rPr>
        <w:t>指事业单位附属的独立核算单位按规定标准或比例缴纳的各项收入。包括附属的事业单位上缴的收入和附属的企业上缴的利润等。</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（六）上级补助收入：</w:t>
      </w:r>
      <w:r>
        <w:rPr>
          <w:rFonts w:ascii="Times New Roman" w:hAnsi="Times New Roman" w:eastAsia="仿宋_GB2312" w:cs="Times New Roman"/>
          <w:snapToGrid/>
          <w:kern w:val="21"/>
          <w:sz w:val="32"/>
          <w:szCs w:val="32"/>
          <w:lang w:eastAsia="zh-CN"/>
        </w:rPr>
        <w:t>指事业单位从主管部门和上级单位取得的非财政补助收入。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（七）其他收入：</w:t>
      </w:r>
      <w:r>
        <w:rPr>
          <w:rFonts w:ascii="Times New Roman" w:hAnsi="Times New Roman" w:eastAsia="仿宋_GB2312" w:cs="Times New Roman"/>
          <w:snapToGrid/>
          <w:kern w:val="21"/>
          <w:sz w:val="32"/>
          <w:szCs w:val="32"/>
          <w:lang w:eastAsia="zh-CN"/>
        </w:rPr>
        <w:t>指除财政拨款、事业收入、事业单位经营收入等以外的各项收入。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（八）使用非财政拨款结余：</w:t>
      </w:r>
      <w:r>
        <w:rPr>
          <w:rFonts w:ascii="Times New Roman" w:hAnsi="Times New Roman" w:eastAsia="仿宋_GB2312" w:cs="Times New Roman"/>
          <w:snapToGrid/>
          <w:kern w:val="21"/>
          <w:sz w:val="32"/>
          <w:szCs w:val="32"/>
          <w:lang w:eastAsia="zh-CN"/>
        </w:rPr>
        <w:t>指历年滚存非限定用途的非财政拨款结余弥补本年度收支差额的数额。</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（九）上年结转结余：</w:t>
      </w:r>
      <w:r>
        <w:rPr>
          <w:rFonts w:ascii="Times New Roman" w:hAnsi="Times New Roman" w:eastAsia="仿宋_GB2312" w:cs="Times New Roman"/>
          <w:snapToGrid/>
          <w:kern w:val="21"/>
          <w:sz w:val="32"/>
          <w:szCs w:val="32"/>
          <w:lang w:eastAsia="zh-CN"/>
        </w:rPr>
        <w:t>指以前年度全部结转和结余的资金数，包括当年结转结余资金和历年滚存结转结余资金。</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二、支出科目</w:t>
      </w:r>
    </w:p>
    <w:p>
      <w:pPr>
        <w:pStyle w:val="6"/>
        <w:kinsoku/>
        <w:autoSpaceDE/>
        <w:autoSpaceDN/>
        <w:adjustRightInd/>
        <w:snapToGrid/>
        <w:spacing w:line="540" w:lineRule="exact"/>
        <w:ind w:left="0" w:firstLine="320" w:firstLineChars="100"/>
        <w:textAlignment w:val="auto"/>
        <w:rPr>
          <w:rFonts w:ascii="仿宋" w:hAnsi="仿宋" w:eastAsia="仿宋" w:cs="仿宋"/>
          <w:sz w:val="32"/>
          <w:szCs w:val="32"/>
          <w:lang w:eastAsia="zh-CN"/>
        </w:rPr>
      </w:pPr>
      <w:r>
        <w:rPr>
          <w:rFonts w:hint="eastAsia" w:ascii="仿宋" w:hAnsi="仿宋" w:eastAsia="仿宋" w:cs="仿宋"/>
          <w:sz w:val="32"/>
          <w:szCs w:val="32"/>
          <w:lang w:eastAsia="zh-CN"/>
        </w:rPr>
        <w:t>（一）三公经费：指政府部门人员因公出国（境）经费，公务车购置及运行费、公务接待费。</w:t>
      </w:r>
    </w:p>
    <w:p>
      <w:pPr>
        <w:kinsoku/>
        <w:autoSpaceDE/>
        <w:autoSpaceDN/>
        <w:adjustRightInd/>
        <w:snapToGrid/>
        <w:spacing w:line="540" w:lineRule="exact"/>
        <w:ind w:firstLine="320" w:firstLineChars="100"/>
        <w:textAlignment w:val="auto"/>
        <w:rPr>
          <w:rFonts w:ascii="仿宋" w:hAnsi="仿宋" w:eastAsia="仿宋" w:cs="仿宋"/>
          <w:sz w:val="32"/>
          <w:szCs w:val="32"/>
          <w:lang w:eastAsia="zh-CN"/>
        </w:rPr>
      </w:pPr>
      <w:r>
        <w:rPr>
          <w:rFonts w:hint="eastAsia" w:ascii="仿宋" w:hAnsi="仿宋" w:eastAsia="仿宋" w:cs="仿宋"/>
          <w:sz w:val="32"/>
          <w:szCs w:val="32"/>
          <w:lang w:eastAsia="zh-CN"/>
        </w:rPr>
        <w:t>（二）专用材料费：反映单位购买日常专用材料的支出。具体包括药品及医疗耗材、实验室用品、专用服装、消耗性体育用品，专用工具和仪器等材料方面的支出；</w:t>
      </w:r>
    </w:p>
    <w:p>
      <w:pPr>
        <w:kinsoku/>
        <w:autoSpaceDE/>
        <w:autoSpaceDN/>
        <w:adjustRightInd/>
        <w:snapToGrid/>
        <w:spacing w:line="540" w:lineRule="exact"/>
        <w:ind w:firstLine="320" w:firstLineChars="100"/>
        <w:textAlignment w:val="auto"/>
        <w:rPr>
          <w:rFonts w:ascii="仿宋" w:hAnsi="仿宋" w:eastAsia="仿宋" w:cs="仿宋"/>
          <w:sz w:val="32"/>
          <w:szCs w:val="32"/>
          <w:lang w:eastAsia="zh-CN"/>
        </w:rPr>
      </w:pPr>
      <w:r>
        <w:rPr>
          <w:rFonts w:hint="eastAsia" w:ascii="仿宋" w:hAnsi="仿宋" w:eastAsia="仿宋" w:cs="仿宋"/>
          <w:sz w:val="32"/>
          <w:szCs w:val="32"/>
          <w:lang w:eastAsia="zh-CN"/>
        </w:rPr>
        <w:t>（三）会议费：反应机关事业单位费用支出，包括会议期间按规定开支的住宿费、伙食费、会议场地租金、交通费文件印刷等；</w:t>
      </w:r>
    </w:p>
    <w:p>
      <w:pPr>
        <w:kinsoku/>
        <w:autoSpaceDE/>
        <w:autoSpaceDN/>
        <w:adjustRightInd/>
        <w:snapToGrid/>
        <w:spacing w:line="540" w:lineRule="exact"/>
        <w:ind w:firstLine="320" w:firstLineChars="100"/>
        <w:textAlignment w:val="auto"/>
        <w:rPr>
          <w:rFonts w:ascii="仿宋" w:hAnsi="仿宋" w:eastAsia="仿宋" w:cs="仿宋"/>
          <w:sz w:val="32"/>
          <w:szCs w:val="32"/>
          <w:lang w:eastAsia="zh-CN"/>
        </w:rPr>
      </w:pPr>
      <w:r>
        <w:rPr>
          <w:rFonts w:hint="eastAsia" w:ascii="仿宋" w:hAnsi="仿宋" w:eastAsia="仿宋" w:cs="仿宋"/>
          <w:sz w:val="32"/>
          <w:szCs w:val="32"/>
          <w:lang w:eastAsia="zh-CN"/>
        </w:rPr>
        <w:t>（四）培训费：反应机关事业单位除因公出差培训以外的培训费，包括在培训期间发生的师资费、住宿费、伙食费、培训场地费、培训资料交通费等各种培训费用。</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三、相关专业名词</w:t>
      </w:r>
    </w:p>
    <w:p>
      <w:pPr>
        <w:ind w:left="720" w:firstLine="640" w:firstLineChars="200"/>
        <w:rPr>
          <w:rFonts w:ascii="仿宋" w:hAnsi="仿宋" w:eastAsia="仿宋"/>
          <w:sz w:val="32"/>
          <w:szCs w:val="32"/>
          <w:lang w:eastAsia="zh-CN"/>
        </w:rPr>
      </w:pPr>
      <w:r>
        <w:rPr>
          <w:rFonts w:hint="eastAsia" w:ascii="仿宋" w:hAnsi="仿宋" w:eastAsia="仿宋"/>
          <w:sz w:val="32"/>
          <w:szCs w:val="32"/>
          <w:lang w:eastAsia="zh-CN"/>
        </w:rPr>
        <w:t>综合医院支出：基本工资，津贴补贴、绩效工资、奖金及保险、公积金等</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sectPr>
          <w:pgSz w:w="11900" w:h="16830"/>
          <w:pgMar w:top="1417" w:right="1417" w:bottom="1417" w:left="1417" w:header="0" w:footer="1361" w:gutter="0"/>
          <w:pgNumType w:fmt="numberInDash"/>
          <w:cols w:space="720" w:num="1"/>
        </w:sectPr>
      </w:pPr>
    </w:p>
    <w:p>
      <w:pPr>
        <w:rPr>
          <w:lang w:eastAsia="zh-CN"/>
        </w:rPr>
      </w:pPr>
    </w:p>
    <w:sectPr>
      <w:footerReference r:id="rId4" w:type="default"/>
      <w:pgSz w:w="11900" w:h="16830"/>
      <w:pgMar w:top="1417" w:right="1417" w:bottom="1417" w:left="1417" w:header="0" w:footer="110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- 13 -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auto"/>
      <w:ind w:left="4207"/>
      <w:rPr>
        <w:rFonts w:ascii="宋体" w:hAnsi="宋体" w:eastAsia="宋体" w:cs="宋体"/>
      </w:rPr>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- 17 -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6bWPI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4o0Uyh4acf308/&#10;H06/vpE3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tY8j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- 17 -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isplayHorizontalDrawingGridEvery w:val="2"/>
  <w:characterSpacingControl w:val="doNotCompress"/>
  <w:hdrShapeDefaults>
    <o:shapelayout v:ext="edit">
      <o:idmap v:ext="edit" data="1,2"/>
    </o:shapelayout>
  </w:hdrShapeDefault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ZDA3ZjNhZmQ5ZDU4NmFiNjA5YWJhYjE4MjE0ZWIifQ=="/>
    <w:docVar w:name="KSO_WPS_MARK_KEY" w:val="04b21f6d-6d10-4b41-bd6b-e5942d1cd47c"/>
  </w:docVars>
  <w:rsids>
    <w:rsidRoot w:val="00126C90"/>
    <w:rsid w:val="00041FD6"/>
    <w:rsid w:val="000A403D"/>
    <w:rsid w:val="000E152A"/>
    <w:rsid w:val="000E4EDC"/>
    <w:rsid w:val="000E512F"/>
    <w:rsid w:val="000E58C9"/>
    <w:rsid w:val="00123525"/>
    <w:rsid w:val="00126C90"/>
    <w:rsid w:val="001B40E4"/>
    <w:rsid w:val="001D5170"/>
    <w:rsid w:val="00312637"/>
    <w:rsid w:val="003356E5"/>
    <w:rsid w:val="00385ECC"/>
    <w:rsid w:val="00390E2F"/>
    <w:rsid w:val="00497AC3"/>
    <w:rsid w:val="00502A3A"/>
    <w:rsid w:val="0050465A"/>
    <w:rsid w:val="00506EA8"/>
    <w:rsid w:val="005B3D94"/>
    <w:rsid w:val="00711C4C"/>
    <w:rsid w:val="00750511"/>
    <w:rsid w:val="0075737A"/>
    <w:rsid w:val="007E7B5F"/>
    <w:rsid w:val="0084681B"/>
    <w:rsid w:val="008A270F"/>
    <w:rsid w:val="00960C7B"/>
    <w:rsid w:val="00977879"/>
    <w:rsid w:val="009D353B"/>
    <w:rsid w:val="009E47B6"/>
    <w:rsid w:val="00AB3FB8"/>
    <w:rsid w:val="00B83570"/>
    <w:rsid w:val="00B95A75"/>
    <w:rsid w:val="00C76885"/>
    <w:rsid w:val="00C94ABC"/>
    <w:rsid w:val="00E22339"/>
    <w:rsid w:val="00E650DC"/>
    <w:rsid w:val="00E740EF"/>
    <w:rsid w:val="00F66EFB"/>
    <w:rsid w:val="00FE22DA"/>
    <w:rsid w:val="09557E20"/>
    <w:rsid w:val="17F32881"/>
    <w:rsid w:val="23C05666"/>
    <w:rsid w:val="26C22705"/>
    <w:rsid w:val="27042C18"/>
    <w:rsid w:val="29CB4BBD"/>
    <w:rsid w:val="39B75B72"/>
    <w:rsid w:val="603A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6"/>
      <w:szCs w:val="36"/>
    </w:rPr>
  </w:style>
  <w:style w:type="paragraph" w:styleId="3">
    <w:name w:val="Balloon Text"/>
    <w:basedOn w:val="1"/>
    <w:link w:val="11"/>
    <w:semiHidden/>
    <w:unhideWhenUsed/>
    <w:uiPriority w:val="99"/>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jc w:val="center"/>
    </w:pPr>
    <w:rPr>
      <w:sz w:val="18"/>
      <w:szCs w:val="18"/>
    </w:rPr>
  </w:style>
  <w:style w:type="paragraph" w:styleId="6">
    <w:name w:val="List"/>
    <w:basedOn w:val="1"/>
    <w:unhideWhenUsed/>
    <w:qFormat/>
    <w:uiPriority w:val="99"/>
    <w:pPr>
      <w:ind w:left="200" w:hanging="200" w:hangingChars="200"/>
      <w:contextualSpacing/>
    </w:pPr>
    <w:rPr>
      <w:rFonts w:ascii="Calibri" w:hAnsi="Calibri"/>
      <w:szCs w:val="22"/>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eastAsia="Arial"/>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479</Words>
  <Characters>2733</Characters>
  <Lines>22</Lines>
  <Paragraphs>6</Paragraphs>
  <TotalTime>2</TotalTime>
  <ScaleCrop>false</ScaleCrop>
  <LinksUpToDate>false</LinksUpToDate>
  <CharactersWithSpaces>3206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2024-02-26T07:20:00Z</dcterms:created>
  <dc:creator>Kingsoft-PDF</dc:creator>
  <cp:lastModifiedBy>Tong</cp:lastModifiedBy>
  <cp:lastPrinted>2024-02-01T03:57:00Z</cp:lastPrinted>
  <dcterms:modified xsi:type="dcterms:W3CDTF">2024-03-01T05:36:46Z</dcterms:modified>
  <dc:subject>pdfbuilder</dc:subject>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2024-01-30T10:53:58Z</vt:filetime>
  </property>
  <property fmtid="{D5CDD505-2E9C-101B-9397-08002B2CF9AE}" pid="4" name="UsrData">
    <vt:lpwstr>65b864bb80a245001f648a21wl</vt:lpwstr>
  </property>
  <property fmtid="{D5CDD505-2E9C-101B-9397-08002B2CF9AE}" pid="5" name="KSOProductBuildVer">
    <vt:lpwstr>2052-12.1.0.16388</vt:lpwstr>
  </property>
  <property fmtid="{D5CDD505-2E9C-101B-9397-08002B2CF9AE}" pid="6" name="ICV">
    <vt:lpwstr>2F419345059C4047BA9441714DF9AADC_13</vt:lpwstr>
  </property>
</Properties>
</file>