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overflowPunct w:val="0"/>
        <w:topLinePunct/>
        <w:autoSpaceDE/>
        <w:autoSpaceDN/>
        <w:spacing w:line="560" w:lineRule="exact"/>
        <w:jc w:val="both"/>
        <w:rPr>
          <w:rFonts w:ascii="黑体" w:hAnsi="黑体" w:eastAsia="黑体" w:cs="黑体"/>
          <w:snapToGrid/>
          <w:kern w:val="21"/>
          <w:sz w:val="32"/>
          <w:szCs w:val="32"/>
          <w:lang w:eastAsia="zh-CN"/>
        </w:rPr>
      </w:pPr>
      <w:r>
        <w:rPr>
          <w:rFonts w:hint="eastAsia" w:ascii="黑体" w:hAnsi="黑体" w:eastAsia="黑体" w:cs="黑体"/>
          <w:snapToGrid/>
          <w:kern w:val="21"/>
          <w:sz w:val="32"/>
          <w:szCs w:val="32"/>
          <w:lang w:eastAsia="zh-CN"/>
        </w:rPr>
        <w:t>附件1</w:t>
      </w:r>
    </w:p>
    <w:p>
      <w:pPr>
        <w:widowControl w:val="0"/>
        <w:kinsoku/>
        <w:overflowPunct w:val="0"/>
        <w:topLinePunct/>
        <w:autoSpaceDE/>
        <w:autoSpaceDN/>
        <w:spacing w:line="400" w:lineRule="exact"/>
        <w:jc w:val="both"/>
        <w:rPr>
          <w:rFonts w:ascii="Times New Roman" w:hAnsi="Times New Roman" w:eastAsia="仿宋_GB2312" w:cs="Times New Roman"/>
          <w:snapToGrid/>
          <w:kern w:val="21"/>
          <w:sz w:val="32"/>
          <w:szCs w:val="32"/>
          <w:lang w:eastAsia="zh-CN"/>
        </w:rPr>
      </w:pPr>
    </w:p>
    <w:p>
      <w:pPr>
        <w:widowControl w:val="0"/>
        <w:kinsoku/>
        <w:overflowPunct w:val="0"/>
        <w:topLinePunct/>
        <w:autoSpaceDE/>
        <w:autoSpaceDN/>
        <w:spacing w:line="560" w:lineRule="exact"/>
        <w:jc w:val="center"/>
        <w:rPr>
          <w:rFonts w:ascii="方正小标宋简体" w:hAnsi="方正小标宋简体" w:eastAsia="方正小标宋简体" w:cs="方正小标宋简体"/>
          <w:snapToGrid/>
          <w:kern w:val="21"/>
          <w:sz w:val="44"/>
          <w:szCs w:val="44"/>
          <w:lang w:eastAsia="zh-CN"/>
        </w:rPr>
      </w:pPr>
      <w:r>
        <w:rPr>
          <w:rFonts w:hint="eastAsia" w:ascii="方正小标宋简体" w:hAnsi="方正小标宋简体" w:eastAsia="方正小标宋简体" w:cs="方正小标宋简体"/>
          <w:snapToGrid/>
          <w:kern w:val="21"/>
          <w:sz w:val="36"/>
          <w:szCs w:val="36"/>
          <w:lang w:eastAsia="zh-CN"/>
        </w:rPr>
        <w:t>新建区妇幼保健计划生育服务中心2024年单位预算</w:t>
      </w:r>
    </w:p>
    <w:p>
      <w:pPr>
        <w:widowControl w:val="0"/>
        <w:kinsoku/>
        <w:overflowPunct w:val="0"/>
        <w:topLinePunct/>
        <w:autoSpaceDE/>
        <w:autoSpaceDN/>
        <w:spacing w:line="560" w:lineRule="exact"/>
        <w:jc w:val="center"/>
        <w:rPr>
          <w:rFonts w:hint="eastAsia" w:ascii="黑体" w:hAnsi="黑体" w:eastAsia="黑体" w:cs="黑体"/>
          <w:b/>
          <w:bCs/>
          <w:snapToGrid/>
          <w:kern w:val="21"/>
          <w:sz w:val="32"/>
          <w:szCs w:val="32"/>
          <w:lang w:eastAsia="zh-CN"/>
        </w:rPr>
      </w:pPr>
      <w:r>
        <w:rPr>
          <w:rFonts w:hint="eastAsia" w:ascii="黑体" w:hAnsi="黑体" w:eastAsia="黑体" w:cs="黑体"/>
          <w:b/>
          <w:bCs/>
          <w:snapToGrid/>
          <w:kern w:val="21"/>
          <w:sz w:val="32"/>
          <w:szCs w:val="32"/>
          <w:lang w:eastAsia="zh-CN"/>
        </w:rPr>
        <w:t>目 录</w:t>
      </w:r>
    </w:p>
    <w:p>
      <w:pPr>
        <w:pStyle w:val="2"/>
        <w:rPr>
          <w:lang w:eastAsia="zh-CN"/>
        </w:rPr>
      </w:pPr>
    </w:p>
    <w:p>
      <w:pPr>
        <w:pStyle w:val="3"/>
        <w:widowControl w:val="0"/>
        <w:kinsoku/>
        <w:overflowPunct w:val="0"/>
        <w:topLinePunct/>
        <w:autoSpaceDE/>
        <w:autoSpaceDN/>
        <w:spacing w:line="560" w:lineRule="exact"/>
        <w:ind w:firstLine="643"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b/>
          <w:bCs/>
          <w:snapToGrid/>
          <w:kern w:val="21"/>
          <w:sz w:val="32"/>
          <w:szCs w:val="32"/>
          <w:lang w:eastAsia="zh-CN"/>
        </w:rPr>
        <w:t>第一部分</w:t>
      </w:r>
      <w:r>
        <w:rPr>
          <w:rFonts w:hint="eastAsia" w:ascii="Times New Roman" w:hAnsi="Times New Roman" w:eastAsia="仿宋_GB2312" w:cs="Times New Roman"/>
          <w:b/>
          <w:bCs/>
          <w:snapToGrid/>
          <w:kern w:val="21"/>
          <w:sz w:val="32"/>
          <w:szCs w:val="32"/>
          <w:lang w:eastAsia="zh-CN"/>
        </w:rPr>
        <w:t xml:space="preserve"> 新建区妇幼保健计划生育服务中心</w:t>
      </w:r>
      <w:r>
        <w:rPr>
          <w:rFonts w:ascii="Times New Roman" w:hAnsi="Times New Roman" w:eastAsia="仿宋_GB2312" w:cs="Times New Roman"/>
          <w:b/>
          <w:bCs/>
          <w:snapToGrid/>
          <w:kern w:val="21"/>
          <w:sz w:val="32"/>
          <w:szCs w:val="32"/>
          <w:lang w:eastAsia="zh-CN"/>
        </w:rPr>
        <w:t>单位概况</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一、单位主要职责</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二、机构设置及人员情况</w:t>
      </w:r>
      <w:bookmarkStart w:id="0" w:name="_GoBack"/>
      <w:bookmarkEnd w:id="0"/>
    </w:p>
    <w:p>
      <w:pPr>
        <w:pStyle w:val="3"/>
        <w:widowControl w:val="0"/>
        <w:kinsoku/>
        <w:overflowPunct w:val="0"/>
        <w:topLinePunct/>
        <w:autoSpaceDE/>
        <w:autoSpaceDN/>
        <w:spacing w:line="560" w:lineRule="exact"/>
        <w:ind w:firstLine="643"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b/>
          <w:bCs/>
          <w:snapToGrid/>
          <w:kern w:val="21"/>
          <w:sz w:val="32"/>
          <w:szCs w:val="32"/>
          <w:lang w:eastAsia="zh-CN"/>
        </w:rPr>
        <w:t>第二部分</w:t>
      </w:r>
      <w:r>
        <w:rPr>
          <w:rFonts w:hint="eastAsia" w:ascii="Times New Roman" w:hAnsi="Times New Roman" w:eastAsia="仿宋_GB2312" w:cs="Times New Roman"/>
          <w:b/>
          <w:bCs/>
          <w:snapToGrid/>
          <w:kern w:val="21"/>
          <w:sz w:val="32"/>
          <w:szCs w:val="32"/>
          <w:lang w:eastAsia="zh-CN"/>
        </w:rPr>
        <w:t xml:space="preserve"> 新建区妇幼保健计划生育服务中心</w:t>
      </w:r>
      <w:r>
        <w:rPr>
          <w:rFonts w:ascii="Times New Roman" w:hAnsi="Times New Roman" w:eastAsia="仿宋_GB2312" w:cs="Times New Roman"/>
          <w:b/>
          <w:bCs/>
          <w:snapToGrid/>
          <w:kern w:val="21"/>
          <w:sz w:val="32"/>
          <w:szCs w:val="32"/>
          <w:lang w:eastAsia="zh-CN"/>
        </w:rPr>
        <w:t>单位2024年单位预算表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一、《收支预算总表》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二、《单位收入总表》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三、《单位支出总表》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四、《财政拨款收支总表》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五、《一般公共预算支出表》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六、《一般公共预算基本支出表》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七、《财政拨款“三公”经费支出表》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八、《政府性基金预算支出表》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九、《国有资本经营预算支出表》</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十、《项目支出绩效目标表》</w:t>
      </w:r>
    </w:p>
    <w:p>
      <w:pPr>
        <w:pStyle w:val="3"/>
        <w:widowControl w:val="0"/>
        <w:kinsoku/>
        <w:overflowPunct w:val="0"/>
        <w:topLinePunct/>
        <w:autoSpaceDE/>
        <w:autoSpaceDN/>
        <w:spacing w:line="560" w:lineRule="exact"/>
        <w:ind w:firstLine="643"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b/>
          <w:bCs/>
          <w:snapToGrid/>
          <w:kern w:val="21"/>
          <w:sz w:val="32"/>
          <w:szCs w:val="32"/>
          <w:lang w:eastAsia="zh-CN"/>
        </w:rPr>
        <w:t>第三部分</w:t>
      </w:r>
      <w:r>
        <w:rPr>
          <w:rFonts w:hint="eastAsia" w:ascii="Times New Roman" w:hAnsi="Times New Roman" w:eastAsia="仿宋_GB2312" w:cs="Times New Roman"/>
          <w:b/>
          <w:bCs/>
          <w:snapToGrid/>
          <w:kern w:val="21"/>
          <w:sz w:val="32"/>
          <w:szCs w:val="32"/>
          <w:lang w:eastAsia="zh-CN"/>
        </w:rPr>
        <w:t xml:space="preserve"> 新建区妇幼保健计划生育服务中心</w:t>
      </w:r>
      <w:r>
        <w:rPr>
          <w:rFonts w:ascii="Times New Roman" w:hAnsi="Times New Roman" w:eastAsia="仿宋_GB2312" w:cs="Times New Roman"/>
          <w:b/>
          <w:bCs/>
          <w:snapToGrid/>
          <w:kern w:val="21"/>
          <w:sz w:val="32"/>
          <w:szCs w:val="32"/>
          <w:lang w:eastAsia="zh-CN"/>
        </w:rPr>
        <w:t>2024年单位预算情况说明</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一、2024年单位预算收支情况说明</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snapToGrid/>
          <w:kern w:val="21"/>
          <w:sz w:val="32"/>
          <w:szCs w:val="32"/>
          <w:lang w:eastAsia="zh-CN"/>
        </w:rPr>
        <w:t>二、2024年“三公”经费预算情况说明</w:t>
      </w:r>
    </w:p>
    <w:p>
      <w:pPr>
        <w:pStyle w:val="3"/>
        <w:widowControl w:val="0"/>
        <w:kinsoku/>
        <w:overflowPunct w:val="0"/>
        <w:topLinePunct/>
        <w:autoSpaceDE/>
        <w:autoSpaceDN/>
        <w:spacing w:line="560" w:lineRule="exact"/>
        <w:ind w:firstLine="643" w:firstLineChars="200"/>
        <w:jc w:val="both"/>
        <w:rPr>
          <w:rFonts w:ascii="Times New Roman" w:hAnsi="Times New Roman" w:eastAsia="仿宋_GB2312" w:cs="Times New Roman"/>
          <w:snapToGrid/>
          <w:kern w:val="21"/>
          <w:sz w:val="32"/>
          <w:szCs w:val="32"/>
          <w:lang w:eastAsia="zh-CN"/>
        </w:rPr>
      </w:pPr>
      <w:r>
        <w:rPr>
          <w:rFonts w:ascii="Times New Roman" w:hAnsi="Times New Roman" w:eastAsia="仿宋_GB2312" w:cs="Times New Roman"/>
          <w:b/>
          <w:bCs/>
          <w:snapToGrid/>
          <w:kern w:val="21"/>
          <w:sz w:val="32"/>
          <w:szCs w:val="32"/>
          <w:lang w:eastAsia="zh-CN"/>
        </w:rPr>
        <w:t>第四部分</w:t>
      </w:r>
      <w:r>
        <w:rPr>
          <w:rFonts w:hint="eastAsia" w:ascii="Times New Roman" w:hAnsi="Times New Roman" w:eastAsia="仿宋_GB2312" w:cs="Times New Roman"/>
          <w:b/>
          <w:bCs/>
          <w:snapToGrid/>
          <w:kern w:val="21"/>
          <w:sz w:val="32"/>
          <w:szCs w:val="32"/>
          <w:lang w:eastAsia="zh-CN"/>
        </w:rPr>
        <w:t xml:space="preserve"> </w:t>
      </w:r>
      <w:r>
        <w:rPr>
          <w:rFonts w:ascii="Times New Roman" w:hAnsi="Times New Roman" w:eastAsia="仿宋_GB2312" w:cs="Times New Roman"/>
          <w:b/>
          <w:bCs/>
          <w:snapToGrid/>
          <w:kern w:val="21"/>
          <w:sz w:val="32"/>
          <w:szCs w:val="32"/>
          <w:lang w:eastAsia="zh-CN"/>
        </w:rPr>
        <w:t>名词解释</w:t>
      </w:r>
    </w:p>
    <w:p>
      <w:pPr>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sectPr>
          <w:footerReference r:id="rId3" w:type="default"/>
          <w:pgSz w:w="11900" w:h="16830"/>
          <w:pgMar w:top="1417" w:right="1417" w:bottom="1417" w:left="1417" w:header="0" w:footer="1361" w:gutter="0"/>
          <w:pgNumType w:fmt="numberInDash"/>
          <w:cols w:space="720" w:num="1"/>
        </w:sectPr>
      </w:pPr>
    </w:p>
    <w:p>
      <w:pPr>
        <w:widowControl w:val="0"/>
        <w:kinsoku/>
        <w:overflowPunct w:val="0"/>
        <w:topLinePunct/>
        <w:autoSpaceDE/>
        <w:autoSpaceDN/>
        <w:spacing w:line="560" w:lineRule="exact"/>
        <w:jc w:val="center"/>
        <w:rPr>
          <w:rFonts w:ascii="黑体" w:hAnsi="黑体" w:eastAsia="黑体" w:cs="黑体"/>
          <w:b/>
          <w:bCs/>
          <w:snapToGrid/>
          <w:kern w:val="21"/>
          <w:sz w:val="32"/>
          <w:szCs w:val="32"/>
          <w:lang w:eastAsia="zh-CN"/>
        </w:rPr>
      </w:pPr>
      <w:r>
        <w:rPr>
          <w:rFonts w:hint="eastAsia" w:ascii="黑体" w:hAnsi="黑体" w:eastAsia="黑体" w:cs="黑体"/>
          <w:b/>
          <w:bCs/>
          <w:snapToGrid/>
          <w:kern w:val="21"/>
          <w:sz w:val="32"/>
          <w:szCs w:val="32"/>
          <w:lang w:eastAsia="zh-CN"/>
        </w:rPr>
        <w:t>第一部分 新建区妇幼保健计划生育服务中心概况</w:t>
      </w:r>
    </w:p>
    <w:p>
      <w:pPr>
        <w:widowControl w:val="0"/>
        <w:kinsoku/>
        <w:overflowPunct w:val="0"/>
        <w:topLinePunct/>
        <w:autoSpaceDE/>
        <w:autoSpaceDN/>
        <w:spacing w:line="560" w:lineRule="exact"/>
        <w:jc w:val="both"/>
        <w:outlineLvl w:val="1"/>
        <w:rPr>
          <w:rFonts w:ascii="Times New Roman" w:hAnsi="Times New Roman" w:eastAsia="仿宋_GB2312" w:cs="Times New Roman"/>
          <w:b/>
          <w:bCs/>
          <w:snapToGrid/>
          <w:kern w:val="21"/>
          <w:sz w:val="32"/>
          <w:szCs w:val="32"/>
          <w:lang w:eastAsia="zh-CN"/>
        </w:rPr>
      </w:pPr>
    </w:p>
    <w:p>
      <w:pPr>
        <w:widowControl w:val="0"/>
        <w:kinsoku/>
        <w:overflowPunct w:val="0"/>
        <w:topLinePunct/>
        <w:autoSpaceDE/>
        <w:autoSpaceDN/>
        <w:spacing w:line="560" w:lineRule="exact"/>
        <w:ind w:firstLine="640" w:firstLineChars="200"/>
        <w:jc w:val="both"/>
        <w:outlineLvl w:val="1"/>
        <w:rPr>
          <w:rFonts w:ascii="黑体" w:hAnsi="黑体" w:eastAsia="黑体" w:cs="黑体"/>
          <w:snapToGrid/>
          <w:kern w:val="21"/>
          <w:sz w:val="32"/>
          <w:szCs w:val="32"/>
          <w:lang w:eastAsia="zh-CN"/>
        </w:rPr>
      </w:pPr>
      <w:r>
        <w:rPr>
          <w:rFonts w:hint="eastAsia" w:ascii="黑体" w:hAnsi="黑体" w:eastAsia="黑体" w:cs="黑体"/>
          <w:snapToGrid/>
          <w:kern w:val="21"/>
          <w:sz w:val="32"/>
          <w:szCs w:val="32"/>
          <w:lang w:eastAsia="zh-CN"/>
        </w:rPr>
        <w:t>一、单位主要职责</w:t>
      </w:r>
    </w:p>
    <w:p>
      <w:pPr>
        <w:spacing w:line="520" w:lineRule="exact"/>
        <w:ind w:firstLine="640" w:firstLineChars="200"/>
        <w:jc w:val="left"/>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主要职责是：切实落实公共卫职责，开展与妇女儿童健康密切相关的基本医疗服务，做好免费婚检、两癌普查、国家免费孕前检查、四项手术等专项工作。</w:t>
      </w:r>
    </w:p>
    <w:p>
      <w:pPr>
        <w:spacing w:line="520" w:lineRule="exact"/>
        <w:ind w:firstLine="640" w:firstLineChars="200"/>
        <w:jc w:val="left"/>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1、完成各级政府和卫生行政部分下达的指令性任务。</w:t>
      </w:r>
    </w:p>
    <w:p>
      <w:pPr>
        <w:spacing w:line="520" w:lineRule="exact"/>
        <w:ind w:firstLine="640" w:firstLineChars="200"/>
        <w:jc w:val="left"/>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2、负责指导和开展本区的妇幼保健教育及健康促进工作：组织实施本区母婴保健技术培训，对基层医疗保健开展业务指导，并提供技术支持。</w:t>
      </w:r>
    </w:p>
    <w:p>
      <w:pPr>
        <w:spacing w:line="520" w:lineRule="exact"/>
        <w:ind w:firstLine="640" w:firstLineChars="200"/>
        <w:jc w:val="left"/>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3、开展妇女保健服务，包括青春期保健、婚前和孕前保健、孕产期保健、更年期保健、老年期保健。</w:t>
      </w:r>
    </w:p>
    <w:p>
      <w:pPr>
        <w:spacing w:line="520" w:lineRule="exact"/>
        <w:ind w:firstLine="640" w:firstLineChars="200"/>
        <w:jc w:val="left"/>
        <w:rPr>
          <w:rFonts w:hint="eastAsia" w:ascii="仿宋_GB2312" w:hAnsi="黑体" w:eastAsia="仿宋_GB2312"/>
          <w:sz w:val="32"/>
          <w:szCs w:val="32"/>
          <w:highlight w:val="none"/>
          <w:lang w:val="en-US" w:eastAsia="zh-CN"/>
        </w:rPr>
      </w:pPr>
      <w:r>
        <w:rPr>
          <w:rFonts w:hint="eastAsia" w:ascii="仿宋_GB2312" w:hAnsi="黑体" w:eastAsia="仿宋_GB2312"/>
          <w:sz w:val="32"/>
          <w:szCs w:val="32"/>
          <w:highlight w:val="none"/>
          <w:lang w:val="en-US" w:eastAsia="zh-CN"/>
        </w:rPr>
        <w:t>4、开展儿童保健服务，重点加强儿童早期综合发展、儿童疾病综合管理等儿童服务。</w:t>
      </w:r>
    </w:p>
    <w:p>
      <w:pPr>
        <w:pStyle w:val="2"/>
        <w:rPr>
          <w:rFonts w:hint="eastAsia"/>
          <w:lang w:val="en-US" w:eastAsia="zh-CN"/>
        </w:rPr>
      </w:pPr>
    </w:p>
    <w:p>
      <w:pPr>
        <w:widowControl w:val="0"/>
        <w:kinsoku/>
        <w:overflowPunct w:val="0"/>
        <w:topLinePunct/>
        <w:autoSpaceDE/>
        <w:autoSpaceDN/>
        <w:spacing w:line="560" w:lineRule="exact"/>
        <w:ind w:firstLine="640" w:firstLineChars="200"/>
        <w:jc w:val="both"/>
        <w:outlineLvl w:val="1"/>
        <w:rPr>
          <w:rFonts w:ascii="黑体" w:hAnsi="黑体" w:eastAsia="黑体" w:cs="黑体"/>
          <w:snapToGrid/>
          <w:kern w:val="21"/>
          <w:sz w:val="32"/>
          <w:szCs w:val="32"/>
          <w:lang w:eastAsia="zh-CN"/>
        </w:rPr>
      </w:pPr>
      <w:r>
        <w:rPr>
          <w:rFonts w:hint="eastAsia" w:ascii="黑体" w:hAnsi="黑体" w:eastAsia="黑体" w:cs="黑体"/>
          <w:snapToGrid/>
          <w:kern w:val="21"/>
          <w:sz w:val="32"/>
          <w:szCs w:val="32"/>
          <w:lang w:eastAsia="zh-CN"/>
        </w:rPr>
        <w:t>二、机构设置及人员情况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19"/>
        <w:jc w:val="both"/>
        <w:textAlignment w:val="baseline"/>
        <w:rPr>
          <w:rFonts w:hint="eastAsia" w:ascii="Times New Roman" w:hAnsi="Times New Roman" w:eastAsia="仿宋_GB2312" w:cs="Times New Roman"/>
          <w:snapToGrid/>
          <w:kern w:val="21"/>
          <w:sz w:val="32"/>
          <w:szCs w:val="32"/>
          <w:lang w:eastAsia="zh-CN"/>
        </w:rPr>
      </w:pPr>
      <w:r>
        <w:rPr>
          <w:rFonts w:hint="eastAsia" w:ascii="Times New Roman" w:hAnsi="Times New Roman" w:eastAsia="仿宋_GB2312" w:cs="Times New Roman"/>
          <w:snapToGrid/>
          <w:kern w:val="21"/>
          <w:sz w:val="32"/>
          <w:szCs w:val="32"/>
          <w:lang w:val="en-US" w:eastAsia="zh-CN"/>
        </w:rPr>
        <w:t>2024年新建区妇幼保健计划生育服务中心共有预算单位</w:t>
      </w:r>
      <w:r>
        <w:rPr>
          <w:rFonts w:hint="eastAsia" w:ascii="Times New Roman" w:hAnsi="Times New Roman" w:eastAsia="仿宋_GB2312" w:cs="Times New Roman"/>
          <w:snapToGrid/>
          <w:kern w:val="21"/>
          <w:sz w:val="32"/>
          <w:szCs w:val="32"/>
          <w:lang w:eastAsia="zh-CN"/>
        </w:rPr>
        <w:t>1 个,</w:t>
      </w:r>
      <w:r>
        <w:rPr>
          <w:rFonts w:ascii="Times New Roman" w:hAnsi="Times New Roman" w:eastAsia="仿宋_GB2312" w:cs="Times New Roman"/>
          <w:snapToGrid/>
          <w:kern w:val="21"/>
          <w:sz w:val="32"/>
          <w:szCs w:val="32"/>
          <w:lang w:eastAsia="zh-CN"/>
        </w:rPr>
        <w:t>内设科室</w:t>
      </w:r>
      <w:r>
        <w:rPr>
          <w:rFonts w:hint="eastAsia" w:ascii="Times New Roman" w:hAnsi="Times New Roman" w:eastAsia="仿宋_GB2312" w:cs="Times New Roman"/>
          <w:snapToGrid/>
          <w:kern w:val="21"/>
          <w:sz w:val="32"/>
          <w:szCs w:val="32"/>
          <w:lang w:val="en-US" w:eastAsia="zh-CN"/>
        </w:rPr>
        <w:t>6</w:t>
      </w:r>
      <w:r>
        <w:rPr>
          <w:rFonts w:ascii="Times New Roman" w:hAnsi="Times New Roman" w:eastAsia="仿宋_GB2312" w:cs="Times New Roman"/>
          <w:snapToGrid/>
          <w:kern w:val="21"/>
          <w:sz w:val="32"/>
          <w:szCs w:val="32"/>
          <w:lang w:eastAsia="zh-CN"/>
        </w:rPr>
        <w:t>个</w:t>
      </w:r>
      <w:r>
        <w:rPr>
          <w:rFonts w:hint="eastAsia" w:ascii="Times New Roman" w:hAnsi="Times New Roman" w:eastAsia="仿宋_GB2312" w:cs="Times New Roman"/>
          <w:snapToGrid/>
          <w:kern w:val="21"/>
          <w:sz w:val="32"/>
          <w:szCs w:val="32"/>
          <w:lang w:eastAsia="zh-CN"/>
        </w:rPr>
        <w:t>，</w:t>
      </w:r>
      <w:r>
        <w:rPr>
          <w:rFonts w:ascii="Times New Roman" w:hAnsi="Times New Roman" w:eastAsia="仿宋_GB2312" w:cs="Times New Roman"/>
          <w:snapToGrid/>
          <w:kern w:val="21"/>
          <w:sz w:val="32"/>
          <w:szCs w:val="32"/>
          <w:lang w:eastAsia="zh-CN"/>
        </w:rPr>
        <w:t>包括：</w:t>
      </w:r>
      <w:r>
        <w:rPr>
          <w:rFonts w:hint="eastAsia" w:ascii="Times New Roman" w:hAnsi="Times New Roman" w:eastAsia="仿宋_GB2312" w:cs="Times New Roman"/>
          <w:snapToGrid/>
          <w:kern w:val="21"/>
          <w:sz w:val="32"/>
          <w:szCs w:val="32"/>
          <w:lang w:eastAsia="zh-CN"/>
        </w:rPr>
        <w:t>办公室、财务科、妇保科、儿保科、婚检科、出生证科</w:t>
      </w:r>
      <w:r>
        <w:rPr>
          <w:rFonts w:ascii="Times New Roman" w:hAnsi="Times New Roman" w:eastAsia="仿宋_GB2312" w:cs="Times New Roman"/>
          <w:snapToGrid/>
          <w:kern w:val="21"/>
          <w:sz w:val="32"/>
          <w:szCs w:val="32"/>
          <w:lang w:eastAsia="zh-CN"/>
        </w:rPr>
        <w:t>。</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19"/>
        <w:jc w:val="both"/>
        <w:textAlignment w:val="baseline"/>
        <w:rPr>
          <w:rFonts w:hint="default" w:ascii="Times New Roman" w:hAnsi="Times New Roman" w:eastAsia="仿宋_GB2312" w:cs="Times New Roman"/>
          <w:color w:val="000000"/>
          <w:kern w:val="21"/>
          <w:sz w:val="32"/>
          <w:szCs w:val="32"/>
          <w:lang w:val="en-US"/>
        </w:rPr>
      </w:pPr>
      <w:r>
        <w:rPr>
          <w:rFonts w:hint="default" w:ascii="仿宋_GB2312" w:hAnsi="Times New Roman" w:eastAsia="仿宋_GB2312" w:cs="仿宋_GB2312"/>
          <w:color w:val="000000"/>
          <w:kern w:val="21"/>
          <w:sz w:val="32"/>
          <w:szCs w:val="32"/>
          <w:lang w:val="en-US" w:eastAsia="zh-CN" w:bidi="ar"/>
        </w:rPr>
        <w:t>编制人数小计</w:t>
      </w:r>
      <w:r>
        <w:rPr>
          <w:rFonts w:hint="eastAsia" w:ascii="Times New Roman" w:hAnsi="Times New Roman" w:eastAsia="仿宋_GB2312" w:cs="Times New Roman"/>
          <w:color w:val="000000"/>
          <w:kern w:val="21"/>
          <w:sz w:val="32"/>
          <w:szCs w:val="32"/>
          <w:lang w:val="en-US" w:eastAsia="zh-CN" w:bidi="ar"/>
        </w:rPr>
        <w:t>4</w:t>
      </w:r>
      <w:r>
        <w:rPr>
          <w:rFonts w:hint="default" w:ascii="Times New Roman" w:hAnsi="Times New Roman" w:eastAsia="仿宋_GB2312" w:cs="Times New Roman"/>
          <w:color w:val="000000"/>
          <w:kern w:val="21"/>
          <w:sz w:val="32"/>
          <w:szCs w:val="32"/>
          <w:lang w:val="en-US" w:eastAsia="zh-CN" w:bidi="ar"/>
        </w:rPr>
        <w:t>0</w:t>
      </w:r>
      <w:r>
        <w:rPr>
          <w:rFonts w:hint="default" w:ascii="仿宋_GB2312" w:hAnsi="Times New Roman" w:eastAsia="仿宋_GB2312" w:cs="仿宋_GB2312"/>
          <w:color w:val="000000"/>
          <w:kern w:val="21"/>
          <w:sz w:val="32"/>
          <w:szCs w:val="32"/>
          <w:lang w:val="en-US" w:eastAsia="zh-CN" w:bidi="ar"/>
        </w:rPr>
        <w:t>人，其中：行政编制</w:t>
      </w:r>
      <w:r>
        <w:rPr>
          <w:rFonts w:hint="default" w:ascii="Times New Roman" w:hAnsi="Times New Roman" w:eastAsia="仿宋_GB2312" w:cs="Times New Roman"/>
          <w:color w:val="000000"/>
          <w:kern w:val="21"/>
          <w:sz w:val="32"/>
          <w:szCs w:val="32"/>
          <w:lang w:val="en-US" w:eastAsia="zh-CN" w:bidi="ar"/>
        </w:rPr>
        <w:t>0</w:t>
      </w:r>
      <w:r>
        <w:rPr>
          <w:rFonts w:hint="default" w:ascii="仿宋_GB2312" w:hAnsi="Times New Roman" w:eastAsia="仿宋_GB2312" w:cs="仿宋_GB2312"/>
          <w:color w:val="000000"/>
          <w:kern w:val="21"/>
          <w:sz w:val="32"/>
          <w:szCs w:val="32"/>
          <w:lang w:val="en-US" w:eastAsia="zh-CN" w:bidi="ar"/>
        </w:rPr>
        <w:t>人、参照公务员管理的事业编制</w:t>
      </w:r>
      <w:r>
        <w:rPr>
          <w:rFonts w:hint="default" w:ascii="Times New Roman" w:hAnsi="Times New Roman" w:eastAsia="仿宋_GB2312" w:cs="Times New Roman"/>
          <w:color w:val="000000"/>
          <w:kern w:val="21"/>
          <w:sz w:val="32"/>
          <w:szCs w:val="32"/>
          <w:lang w:val="en-US" w:eastAsia="zh-CN" w:bidi="ar"/>
        </w:rPr>
        <w:t>0</w:t>
      </w:r>
      <w:r>
        <w:rPr>
          <w:rFonts w:hint="default" w:ascii="仿宋_GB2312" w:hAnsi="Times New Roman" w:eastAsia="仿宋_GB2312" w:cs="仿宋_GB2312"/>
          <w:color w:val="000000"/>
          <w:kern w:val="21"/>
          <w:sz w:val="32"/>
          <w:szCs w:val="32"/>
          <w:lang w:val="en-US" w:eastAsia="zh-CN" w:bidi="ar"/>
        </w:rPr>
        <w:t>人、全部补助事业编制</w:t>
      </w:r>
      <w:r>
        <w:rPr>
          <w:rFonts w:hint="eastAsia" w:ascii="Times New Roman" w:hAnsi="Times New Roman" w:eastAsia="仿宋_GB2312" w:cs="Times New Roman"/>
          <w:color w:val="000000"/>
          <w:kern w:val="21"/>
          <w:sz w:val="32"/>
          <w:szCs w:val="32"/>
          <w:lang w:val="en-US" w:eastAsia="zh-CN" w:bidi="ar"/>
        </w:rPr>
        <w:t>4</w:t>
      </w:r>
      <w:r>
        <w:rPr>
          <w:rFonts w:hint="default" w:ascii="Times New Roman" w:hAnsi="Times New Roman" w:eastAsia="仿宋_GB2312" w:cs="Times New Roman"/>
          <w:color w:val="000000"/>
          <w:kern w:val="21"/>
          <w:sz w:val="32"/>
          <w:szCs w:val="32"/>
          <w:lang w:val="en-US" w:eastAsia="zh-CN" w:bidi="ar"/>
        </w:rPr>
        <w:t>0</w:t>
      </w:r>
      <w:r>
        <w:rPr>
          <w:rFonts w:hint="default" w:ascii="仿宋_GB2312" w:hAnsi="Times New Roman" w:eastAsia="仿宋_GB2312" w:cs="仿宋_GB2312"/>
          <w:color w:val="000000"/>
          <w:kern w:val="21"/>
          <w:sz w:val="32"/>
          <w:szCs w:val="32"/>
          <w:lang w:val="en-US" w:eastAsia="zh-CN" w:bidi="ar"/>
        </w:rPr>
        <w:t>人、部分补助事业编制</w:t>
      </w:r>
      <w:r>
        <w:rPr>
          <w:rFonts w:hint="default" w:ascii="Times New Roman" w:hAnsi="Times New Roman" w:eastAsia="仿宋_GB2312" w:cs="Times New Roman"/>
          <w:color w:val="000000"/>
          <w:kern w:val="21"/>
          <w:sz w:val="32"/>
          <w:szCs w:val="32"/>
          <w:lang w:val="en-US" w:eastAsia="zh-CN" w:bidi="ar"/>
        </w:rPr>
        <w:t>0</w:t>
      </w:r>
      <w:r>
        <w:rPr>
          <w:rFonts w:hint="default" w:ascii="仿宋_GB2312" w:hAnsi="Times New Roman" w:eastAsia="仿宋_GB2312" w:cs="仿宋_GB2312"/>
          <w:color w:val="000000"/>
          <w:kern w:val="21"/>
          <w:sz w:val="32"/>
          <w:szCs w:val="32"/>
          <w:lang w:val="en-US" w:eastAsia="zh-CN" w:bidi="ar"/>
        </w:rPr>
        <w:t>人、自收自支事业编制</w:t>
      </w:r>
      <w:r>
        <w:rPr>
          <w:rFonts w:hint="default" w:ascii="Times New Roman" w:hAnsi="Times New Roman" w:eastAsia="仿宋_GB2312" w:cs="Times New Roman"/>
          <w:color w:val="000000"/>
          <w:kern w:val="21"/>
          <w:sz w:val="32"/>
          <w:szCs w:val="32"/>
          <w:lang w:val="en-US" w:eastAsia="zh-CN" w:bidi="ar"/>
        </w:rPr>
        <w:t>0</w:t>
      </w:r>
      <w:r>
        <w:rPr>
          <w:rFonts w:hint="default" w:ascii="仿宋_GB2312" w:hAnsi="Times New Roman" w:eastAsia="仿宋_GB2312" w:cs="仿宋_GB2312"/>
          <w:color w:val="000000"/>
          <w:kern w:val="21"/>
          <w:sz w:val="32"/>
          <w:szCs w:val="32"/>
          <w:lang w:val="en-US" w:eastAsia="zh-CN" w:bidi="ar"/>
        </w:rPr>
        <w:t>人。实有人数</w:t>
      </w:r>
      <w:r>
        <w:rPr>
          <w:rFonts w:hint="eastAsia" w:ascii="Times New Roman" w:hAnsi="Times New Roman" w:eastAsia="仿宋_GB2312" w:cs="Times New Roman"/>
          <w:color w:val="000000"/>
          <w:kern w:val="21"/>
          <w:sz w:val="32"/>
          <w:szCs w:val="32"/>
          <w:lang w:val="en-US" w:eastAsia="zh-CN" w:bidi="ar"/>
        </w:rPr>
        <w:t>48</w:t>
      </w:r>
      <w:r>
        <w:rPr>
          <w:rFonts w:hint="default" w:ascii="仿宋_GB2312" w:hAnsi="Times New Roman" w:eastAsia="仿宋_GB2312" w:cs="仿宋_GB2312"/>
          <w:color w:val="000000"/>
          <w:kern w:val="21"/>
          <w:sz w:val="32"/>
          <w:szCs w:val="32"/>
          <w:lang w:val="en-US" w:eastAsia="zh-CN" w:bidi="ar"/>
        </w:rPr>
        <w:t>人，其中：全部补助事业人员</w:t>
      </w:r>
      <w:r>
        <w:rPr>
          <w:rFonts w:hint="eastAsia" w:ascii="仿宋_GB2312" w:hAnsi="Times New Roman" w:eastAsia="仿宋_GB2312" w:cs="仿宋_GB2312"/>
          <w:color w:val="000000"/>
          <w:kern w:val="21"/>
          <w:sz w:val="32"/>
          <w:szCs w:val="32"/>
          <w:lang w:val="en-US" w:eastAsia="zh-CN" w:bidi="ar"/>
        </w:rPr>
        <w:t>48</w:t>
      </w:r>
      <w:r>
        <w:rPr>
          <w:rFonts w:hint="default" w:ascii="仿宋_GB2312" w:hAnsi="Times New Roman" w:eastAsia="仿宋_GB2312" w:cs="仿宋_GB2312"/>
          <w:color w:val="000000"/>
          <w:kern w:val="21"/>
          <w:sz w:val="32"/>
          <w:szCs w:val="32"/>
          <w:lang w:val="en-US" w:eastAsia="zh-CN" w:bidi="ar"/>
        </w:rPr>
        <w:t>人。遗属人数</w:t>
      </w:r>
      <w:r>
        <w:rPr>
          <w:rFonts w:hint="default" w:ascii="Times New Roman" w:hAnsi="Times New Roman" w:eastAsia="仿宋_GB2312" w:cs="Times New Roman"/>
          <w:color w:val="000000"/>
          <w:kern w:val="21"/>
          <w:sz w:val="32"/>
          <w:szCs w:val="32"/>
          <w:lang w:val="en-US" w:eastAsia="zh-CN" w:bidi="ar"/>
        </w:rPr>
        <w:t>1</w:t>
      </w:r>
      <w:r>
        <w:rPr>
          <w:rFonts w:hint="default" w:ascii="仿宋_GB2312" w:hAnsi="Times New Roman" w:eastAsia="仿宋_GB2312" w:cs="仿宋_GB2312"/>
          <w:color w:val="000000"/>
          <w:kern w:val="21"/>
          <w:sz w:val="32"/>
          <w:szCs w:val="32"/>
          <w:lang w:val="en-US" w:eastAsia="zh-CN" w:bidi="ar"/>
        </w:rPr>
        <w:t>人</w:t>
      </w:r>
      <w:r>
        <w:rPr>
          <w:rFonts w:hint="eastAsia" w:ascii="仿宋_GB2312" w:hAnsi="Times New Roman" w:eastAsia="仿宋_GB2312" w:cs="仿宋_GB2312"/>
          <w:color w:val="000000"/>
          <w:kern w:val="21"/>
          <w:sz w:val="32"/>
          <w:szCs w:val="32"/>
          <w:lang w:val="en-US" w:eastAsia="zh-CN" w:bidi="ar"/>
        </w:rPr>
        <w:t>，退休人员</w:t>
      </w:r>
      <w:r>
        <w:rPr>
          <w:rFonts w:hint="eastAsia" w:ascii="Times New Roman" w:hAnsi="Times New Roman" w:eastAsia="仿宋_GB2312" w:cs="Times New Roman"/>
          <w:color w:val="000000"/>
          <w:kern w:val="21"/>
          <w:sz w:val="32"/>
          <w:szCs w:val="32"/>
          <w:lang w:val="en-US" w:eastAsia="zh-CN" w:bidi="ar"/>
        </w:rPr>
        <w:t>62</w:t>
      </w:r>
      <w:r>
        <w:rPr>
          <w:rFonts w:hint="eastAsia" w:ascii="仿宋_GB2312" w:hAnsi="Times New Roman" w:eastAsia="仿宋_GB2312" w:cs="仿宋_GB2312"/>
          <w:color w:val="000000"/>
          <w:kern w:val="21"/>
          <w:sz w:val="32"/>
          <w:szCs w:val="32"/>
          <w:lang w:val="en-US" w:eastAsia="zh-CN" w:bidi="ar"/>
        </w:rPr>
        <w:t>人。</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19"/>
        <w:jc w:val="both"/>
        <w:textAlignment w:val="baseline"/>
        <w:rPr>
          <w:rFonts w:hint="default" w:ascii="Times New Roman" w:hAnsi="Times New Roman" w:eastAsia="仿宋_GB2312" w:cs="Times New Roman"/>
          <w:snapToGrid/>
          <w:kern w:val="21"/>
          <w:sz w:val="32"/>
          <w:szCs w:val="32"/>
          <w:lang w:eastAsia="zh-CN"/>
        </w:rPr>
      </w:pPr>
    </w:p>
    <w:p>
      <w:pPr>
        <w:pStyle w:val="3"/>
        <w:widowControl w:val="0"/>
        <w:kinsoku/>
        <w:overflowPunct w:val="0"/>
        <w:topLinePunct/>
        <w:autoSpaceDE/>
        <w:autoSpaceDN/>
        <w:spacing w:line="560" w:lineRule="exact"/>
        <w:ind w:firstLine="640" w:firstLineChars="200"/>
        <w:jc w:val="both"/>
        <w:rPr>
          <w:rFonts w:hint="eastAsia" w:ascii="Times New Roman" w:hAnsi="Times New Roman" w:eastAsia="仿宋_GB2312" w:cs="Times New Roman"/>
          <w:snapToGrid/>
          <w:kern w:val="21"/>
          <w:sz w:val="32"/>
          <w:szCs w:val="32"/>
          <w:lang w:eastAsia="zh-CN"/>
        </w:rPr>
      </w:pPr>
    </w:p>
    <w:p>
      <w:pPr>
        <w:widowControl w:val="0"/>
        <w:kinsoku/>
        <w:overflowPunct w:val="0"/>
        <w:topLinePunct/>
        <w:autoSpaceDE/>
        <w:autoSpaceDN/>
        <w:spacing w:line="560" w:lineRule="exact"/>
        <w:jc w:val="center"/>
        <w:rPr>
          <w:rFonts w:hint="eastAsia" w:ascii="黑体" w:hAnsi="黑体" w:eastAsia="黑体" w:cs="黑体"/>
          <w:b/>
          <w:bCs/>
          <w:snapToGrid/>
          <w:kern w:val="21"/>
          <w:sz w:val="32"/>
          <w:szCs w:val="32"/>
          <w:lang w:eastAsia="zh-CN"/>
        </w:rPr>
      </w:pPr>
    </w:p>
    <w:p>
      <w:pPr>
        <w:widowControl w:val="0"/>
        <w:kinsoku/>
        <w:overflowPunct w:val="0"/>
        <w:topLinePunct/>
        <w:autoSpaceDE/>
        <w:autoSpaceDN/>
        <w:spacing w:line="560" w:lineRule="exact"/>
        <w:jc w:val="center"/>
        <w:rPr>
          <w:rFonts w:hint="eastAsia" w:ascii="黑体" w:hAnsi="黑体" w:eastAsia="黑体" w:cs="黑体"/>
          <w:b/>
          <w:bCs/>
          <w:snapToGrid/>
          <w:kern w:val="21"/>
          <w:sz w:val="32"/>
          <w:szCs w:val="32"/>
          <w:lang w:eastAsia="zh-CN"/>
        </w:rPr>
      </w:pPr>
    </w:p>
    <w:p>
      <w:pPr>
        <w:widowControl w:val="0"/>
        <w:kinsoku/>
        <w:overflowPunct w:val="0"/>
        <w:topLinePunct/>
        <w:autoSpaceDE/>
        <w:autoSpaceDN/>
        <w:spacing w:line="560" w:lineRule="exact"/>
        <w:jc w:val="center"/>
        <w:rPr>
          <w:rFonts w:hint="eastAsia" w:ascii="黑体" w:hAnsi="黑体" w:eastAsia="黑体" w:cs="黑体"/>
          <w:b/>
          <w:bCs/>
          <w:snapToGrid/>
          <w:kern w:val="21"/>
          <w:sz w:val="32"/>
          <w:szCs w:val="32"/>
          <w:lang w:eastAsia="zh-CN"/>
        </w:rPr>
      </w:pPr>
    </w:p>
    <w:p>
      <w:pPr>
        <w:widowControl w:val="0"/>
        <w:numPr>
          <w:ilvl w:val="0"/>
          <w:numId w:val="1"/>
        </w:numPr>
        <w:kinsoku/>
        <w:overflowPunct w:val="0"/>
        <w:topLinePunct/>
        <w:autoSpaceDE/>
        <w:autoSpaceDN/>
        <w:spacing w:line="560" w:lineRule="exact"/>
        <w:jc w:val="center"/>
        <w:rPr>
          <w:rFonts w:hint="eastAsia" w:ascii="黑体" w:hAnsi="黑体" w:eastAsia="黑体" w:cs="黑体"/>
          <w:b/>
          <w:bCs/>
          <w:snapToGrid/>
          <w:kern w:val="21"/>
          <w:sz w:val="32"/>
          <w:szCs w:val="32"/>
          <w:lang w:eastAsia="zh-CN"/>
        </w:rPr>
      </w:pPr>
      <w:r>
        <w:rPr>
          <w:rFonts w:hint="eastAsia" w:ascii="黑体" w:hAnsi="黑体" w:eastAsia="黑体" w:cs="黑体"/>
          <w:b/>
          <w:bCs/>
          <w:snapToGrid/>
          <w:kern w:val="21"/>
          <w:sz w:val="32"/>
          <w:szCs w:val="32"/>
          <w:lang w:eastAsia="zh-CN"/>
        </w:rPr>
        <w:t>新建区妇幼保健计划生育服务中心2024年单位预算表</w:t>
      </w:r>
    </w:p>
    <w:p>
      <w:pPr>
        <w:pStyle w:val="2"/>
        <w:numPr>
          <w:ilvl w:val="0"/>
          <w:numId w:val="0"/>
        </w:numPr>
        <w:ind w:leftChars="-200"/>
        <w:rPr>
          <w:lang w:eastAsia="zh-CN"/>
        </w:rPr>
      </w:pPr>
      <w:r>
        <w:drawing>
          <wp:inline distT="0" distB="0" distL="114300" distR="114300">
            <wp:extent cx="5669915" cy="755650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69915" cy="7556500"/>
                    </a:xfrm>
                    <a:prstGeom prst="rect">
                      <a:avLst/>
                    </a:prstGeom>
                    <a:noFill/>
                    <a:ln>
                      <a:noFill/>
                    </a:ln>
                  </pic:spPr>
                </pic:pic>
              </a:graphicData>
            </a:graphic>
          </wp:inline>
        </w:drawing>
      </w:r>
    </w:p>
    <w:p>
      <w:pPr>
        <w:widowControl w:val="0"/>
        <w:kinsoku/>
        <w:overflowPunct w:val="0"/>
        <w:topLinePunct/>
        <w:autoSpaceDE/>
        <w:autoSpaceDN/>
        <w:spacing w:line="560" w:lineRule="exact"/>
        <w:jc w:val="center"/>
        <w:rPr>
          <w:rFonts w:ascii="Times New Roman" w:hAnsi="Times New Roman" w:eastAsia="仿宋_GB2312" w:cs="Times New Roman"/>
          <w:snapToGrid/>
          <w:kern w:val="21"/>
          <w:sz w:val="32"/>
          <w:szCs w:val="32"/>
          <w:lang w:eastAsia="zh-CN"/>
        </w:rPr>
      </w:pPr>
    </w:p>
    <w:p>
      <w:pPr>
        <w:widowControl w:val="0"/>
        <w:kinsoku/>
        <w:overflowPunct w:val="0"/>
        <w:topLinePunct/>
        <w:autoSpaceDE/>
        <w:autoSpaceDN/>
        <w:spacing w:line="560" w:lineRule="exact"/>
        <w:jc w:val="both"/>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r>
        <w:drawing>
          <wp:inline distT="0" distB="0" distL="114300" distR="114300">
            <wp:extent cx="5698490" cy="6473825"/>
            <wp:effectExtent l="0" t="0" r="1651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698490" cy="6473825"/>
                    </a:xfrm>
                    <a:prstGeom prst="rect">
                      <a:avLst/>
                    </a:prstGeom>
                    <a:noFill/>
                    <a:ln>
                      <a:noFill/>
                    </a:ln>
                  </pic:spPr>
                </pic:pic>
              </a:graphicData>
            </a:graphic>
          </wp:inline>
        </w:drawing>
      </w: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r>
        <w:drawing>
          <wp:inline distT="0" distB="0" distL="114300" distR="114300">
            <wp:extent cx="5763260" cy="4770755"/>
            <wp:effectExtent l="0" t="0" r="889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763260" cy="4770755"/>
                    </a:xfrm>
                    <a:prstGeom prst="rect">
                      <a:avLst/>
                    </a:prstGeom>
                    <a:noFill/>
                    <a:ln>
                      <a:noFill/>
                    </a:ln>
                  </pic:spPr>
                </pic:pic>
              </a:graphicData>
            </a:graphic>
          </wp:inline>
        </w:drawing>
      </w: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r>
        <w:drawing>
          <wp:inline distT="0" distB="0" distL="114300" distR="114300">
            <wp:extent cx="5638800" cy="531495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638800" cy="5314950"/>
                    </a:xfrm>
                    <a:prstGeom prst="rect">
                      <a:avLst/>
                    </a:prstGeom>
                    <a:noFill/>
                    <a:ln>
                      <a:noFill/>
                    </a:ln>
                  </pic:spPr>
                </pic:pic>
              </a:graphicData>
            </a:graphic>
          </wp:inline>
        </w:drawing>
      </w: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r>
        <w:drawing>
          <wp:inline distT="0" distB="0" distL="114300" distR="114300">
            <wp:extent cx="5543550" cy="5343525"/>
            <wp:effectExtent l="0" t="0" r="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543550" cy="5343525"/>
                    </a:xfrm>
                    <a:prstGeom prst="rect">
                      <a:avLst/>
                    </a:prstGeom>
                    <a:noFill/>
                    <a:ln>
                      <a:noFill/>
                    </a:ln>
                  </pic:spPr>
                </pic:pic>
              </a:graphicData>
            </a:graphic>
          </wp:inline>
        </w:drawing>
      </w: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r>
        <w:drawing>
          <wp:inline distT="0" distB="0" distL="114300" distR="114300">
            <wp:extent cx="5725160" cy="6363970"/>
            <wp:effectExtent l="0" t="0" r="8890" b="177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725160" cy="6363970"/>
                    </a:xfrm>
                    <a:prstGeom prst="rect">
                      <a:avLst/>
                    </a:prstGeom>
                    <a:noFill/>
                    <a:ln>
                      <a:noFill/>
                    </a:ln>
                  </pic:spPr>
                </pic:pic>
              </a:graphicData>
            </a:graphic>
          </wp:inline>
        </w:drawing>
      </w: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pPr>
      <w:r>
        <w:drawing>
          <wp:inline distT="0" distB="0" distL="114300" distR="114300">
            <wp:extent cx="5755640" cy="2291080"/>
            <wp:effectExtent l="0" t="0" r="16510" b="139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755640" cy="2291080"/>
                    </a:xfrm>
                    <a:prstGeom prst="rect">
                      <a:avLst/>
                    </a:prstGeom>
                    <a:noFill/>
                    <a:ln>
                      <a:noFill/>
                    </a:ln>
                  </pic:spPr>
                </pic:pic>
              </a:graphicData>
            </a:graphic>
          </wp:inline>
        </w:drawing>
      </w:r>
    </w:p>
    <w:p>
      <w:pPr>
        <w:pStyle w:val="2"/>
      </w:pPr>
    </w:p>
    <w:p>
      <w:pPr>
        <w:pStyle w:val="2"/>
      </w:pPr>
    </w:p>
    <w:p>
      <w:pPr>
        <w:pStyle w:val="2"/>
      </w:pPr>
      <w:r>
        <w:drawing>
          <wp:inline distT="0" distB="0" distL="114300" distR="114300">
            <wp:extent cx="5753100" cy="1539240"/>
            <wp:effectExtent l="0" t="0" r="0" b="38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5753100" cy="1539240"/>
                    </a:xfrm>
                    <a:prstGeom prst="rect">
                      <a:avLst/>
                    </a:prstGeom>
                    <a:noFill/>
                    <a:ln>
                      <a:noFill/>
                    </a:ln>
                  </pic:spPr>
                </pic:pic>
              </a:graphicData>
            </a:graphic>
          </wp:inline>
        </w:drawing>
      </w:r>
    </w:p>
    <w:p>
      <w:pPr>
        <w:pStyle w:val="2"/>
      </w:pPr>
    </w:p>
    <w:p>
      <w:pPr>
        <w:pStyle w:val="2"/>
        <w:rPr>
          <w:lang w:eastAsia="zh-CN"/>
        </w:rPr>
      </w:pPr>
    </w:p>
    <w:p>
      <w:pPr>
        <w:pStyle w:val="2"/>
      </w:pPr>
      <w:r>
        <w:drawing>
          <wp:inline distT="0" distB="0" distL="114300" distR="114300">
            <wp:extent cx="5755640" cy="1597660"/>
            <wp:effectExtent l="0" t="0" r="16510"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755640" cy="1597660"/>
                    </a:xfrm>
                    <a:prstGeom prst="rect">
                      <a:avLst/>
                    </a:prstGeom>
                    <a:noFill/>
                    <a:ln>
                      <a:noFill/>
                    </a:ln>
                  </pic:spPr>
                </pic:pic>
              </a:graphicData>
            </a:graphic>
          </wp:inline>
        </w:drawing>
      </w:r>
    </w:p>
    <w:p>
      <w:pPr>
        <w:pStyle w:val="2"/>
      </w:pPr>
    </w:p>
    <w:p>
      <w:pPr>
        <w:pStyle w:val="2"/>
        <w:rPr>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pPr>
      <w:r>
        <w:drawing>
          <wp:inline distT="0" distB="0" distL="114300" distR="114300">
            <wp:extent cx="5756275" cy="3056890"/>
            <wp:effectExtent l="0" t="0" r="1587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756275" cy="3056890"/>
                    </a:xfrm>
                    <a:prstGeom prst="rect">
                      <a:avLst/>
                    </a:prstGeom>
                    <a:noFill/>
                    <a:ln>
                      <a:noFill/>
                    </a:ln>
                  </pic:spPr>
                </pic:pic>
              </a:graphicData>
            </a:graphic>
          </wp:inline>
        </w:drawing>
      </w:r>
    </w:p>
    <w:p>
      <w:pPr>
        <w:pStyle w:val="2"/>
      </w:pPr>
    </w:p>
    <w:p>
      <w:pPr>
        <w:pStyle w:val="2"/>
      </w:pPr>
    </w:p>
    <w:p>
      <w:pPr>
        <w:pStyle w:val="2"/>
      </w:pPr>
    </w:p>
    <w:p>
      <w:pPr>
        <w:pStyle w:val="2"/>
      </w:pPr>
      <w:r>
        <w:drawing>
          <wp:inline distT="0" distB="0" distL="114300" distR="114300">
            <wp:extent cx="5747385" cy="2431415"/>
            <wp:effectExtent l="0" t="0" r="571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747385" cy="2431415"/>
                    </a:xfrm>
                    <a:prstGeom prst="rect">
                      <a:avLst/>
                    </a:prstGeom>
                    <a:noFill/>
                    <a:ln>
                      <a:noFill/>
                    </a:ln>
                  </pic:spPr>
                </pic:pic>
              </a:graphicData>
            </a:graphic>
          </wp:inline>
        </w:drawing>
      </w:r>
    </w:p>
    <w:p>
      <w:pPr>
        <w:pStyle w:val="2"/>
        <w:rPr>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r>
        <w:drawing>
          <wp:inline distT="0" distB="0" distL="114300" distR="114300">
            <wp:extent cx="6228080" cy="7124700"/>
            <wp:effectExtent l="0" t="0" r="127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6228080" cy="7124700"/>
                    </a:xfrm>
                    <a:prstGeom prst="rect">
                      <a:avLst/>
                    </a:prstGeom>
                    <a:noFill/>
                    <a:ln>
                      <a:noFill/>
                    </a:ln>
                  </pic:spPr>
                </pic:pic>
              </a:graphicData>
            </a:graphic>
          </wp:inline>
        </w:drawing>
      </w: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pStyle w:val="2"/>
        <w:rPr>
          <w:rFonts w:ascii="Times New Roman" w:hAnsi="Times New Roman" w:eastAsia="仿宋_GB2312" w:cs="Times New Roman"/>
          <w:snapToGrid/>
          <w:kern w:val="21"/>
          <w:sz w:val="32"/>
          <w:szCs w:val="32"/>
          <w:lang w:eastAsia="zh-CN"/>
        </w:rPr>
      </w:pPr>
    </w:p>
    <w:p>
      <w:pPr>
        <w:widowControl w:val="0"/>
        <w:kinsoku/>
        <w:overflowPunct w:val="0"/>
        <w:topLinePunct/>
        <w:autoSpaceDE/>
        <w:autoSpaceDN/>
        <w:spacing w:line="560" w:lineRule="exact"/>
        <w:jc w:val="center"/>
        <w:rPr>
          <w:rFonts w:ascii="黑体" w:hAnsi="黑体" w:eastAsia="黑体" w:cs="黑体"/>
          <w:b/>
          <w:bCs/>
          <w:snapToGrid/>
          <w:kern w:val="21"/>
          <w:sz w:val="32"/>
          <w:szCs w:val="32"/>
          <w:lang w:eastAsia="zh-CN"/>
        </w:rPr>
      </w:pPr>
      <w:r>
        <w:rPr>
          <w:rFonts w:hint="eastAsia" w:ascii="黑体" w:hAnsi="黑体" w:eastAsia="黑体" w:cs="黑体"/>
          <w:b/>
          <w:bCs/>
          <w:snapToGrid/>
          <w:kern w:val="21"/>
          <w:sz w:val="32"/>
          <w:szCs w:val="32"/>
          <w:lang w:eastAsia="zh-CN"/>
        </w:rPr>
        <w:t>第三部分 新建区妇幼保健计划生育服务中心</w:t>
      </w:r>
      <w:r>
        <w:rPr>
          <w:rFonts w:hint="eastAsia" w:ascii="黑体" w:hAnsi="黑体" w:eastAsia="黑体" w:cs="黑体"/>
          <w:b/>
          <w:bCs/>
          <w:snapToGrid/>
          <w:kern w:val="21"/>
          <w:sz w:val="32"/>
          <w:szCs w:val="32"/>
          <w:lang w:val="en-US" w:eastAsia="zh-CN"/>
        </w:rPr>
        <w:t xml:space="preserve">              </w:t>
      </w:r>
      <w:r>
        <w:rPr>
          <w:rFonts w:hint="eastAsia" w:ascii="黑体" w:hAnsi="黑体" w:eastAsia="黑体" w:cs="黑体"/>
          <w:b/>
          <w:bCs/>
          <w:snapToGrid/>
          <w:kern w:val="21"/>
          <w:sz w:val="32"/>
          <w:szCs w:val="32"/>
          <w:lang w:eastAsia="zh-CN"/>
        </w:rPr>
        <w:t>2024年单位预算情况说明</w:t>
      </w:r>
    </w:p>
    <w:p>
      <w:pPr>
        <w:widowControl w:val="0"/>
        <w:kinsoku/>
        <w:overflowPunct w:val="0"/>
        <w:topLinePunct/>
        <w:autoSpaceDE/>
        <w:autoSpaceDN/>
        <w:spacing w:line="560" w:lineRule="exact"/>
        <w:jc w:val="both"/>
        <w:rPr>
          <w:rFonts w:ascii="Times New Roman" w:hAnsi="Times New Roman" w:eastAsia="仿宋_GB2312" w:cs="Times New Roman"/>
          <w:snapToGrid/>
          <w:kern w:val="21"/>
          <w:sz w:val="32"/>
          <w:szCs w:val="32"/>
          <w:lang w:eastAsia="zh-CN"/>
        </w:rPr>
      </w:pP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eastAsia" w:ascii="黑体" w:hAnsi="宋体" w:eastAsia="黑体" w:cs="黑体"/>
          <w:color w:val="000000"/>
          <w:kern w:val="21"/>
          <w:sz w:val="32"/>
          <w:szCs w:val="32"/>
        </w:rPr>
      </w:pPr>
      <w:r>
        <w:rPr>
          <w:rFonts w:hint="eastAsia" w:ascii="黑体" w:hAnsi="宋体" w:eastAsia="黑体" w:cs="黑体"/>
          <w:snapToGrid w:val="0"/>
          <w:color w:val="000000"/>
          <w:kern w:val="21"/>
          <w:sz w:val="32"/>
          <w:szCs w:val="32"/>
          <w:lang w:val="en-US" w:eastAsia="zh-CN" w:bidi="ar"/>
        </w:rPr>
        <w:t>一、2024年单位预算收支情况说明</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（一）收入预算情况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lang w:val="en-US"/>
        </w:rPr>
      </w:pPr>
      <w:r>
        <w:rPr>
          <w:rFonts w:hint="default" w:ascii="Times New Roman" w:hAnsi="Times New Roman" w:eastAsia="仿宋_GB2312" w:cs="Times New Roman"/>
          <w:snapToGrid/>
          <w:color w:val="000000"/>
          <w:kern w:val="21"/>
          <w:sz w:val="32"/>
          <w:szCs w:val="32"/>
          <w:lang w:val="en-US" w:eastAsia="zh-CN" w:bidi="ar"/>
        </w:rPr>
        <w:t>2024</w:t>
      </w:r>
      <w:r>
        <w:rPr>
          <w:rFonts w:hint="default" w:ascii="仿宋_GB2312" w:hAnsi="Times New Roman" w:eastAsia="仿宋_GB2312" w:cs="仿宋_GB2312"/>
          <w:snapToGrid/>
          <w:color w:val="000000"/>
          <w:kern w:val="21"/>
          <w:sz w:val="32"/>
          <w:szCs w:val="32"/>
          <w:lang w:val="en-US" w:eastAsia="zh-CN" w:bidi="ar"/>
        </w:rPr>
        <w:t>年</w:t>
      </w:r>
      <w:r>
        <w:rPr>
          <w:rFonts w:hint="eastAsia" w:ascii="仿宋_GB2312" w:hAnsi="Times New Roman" w:eastAsia="仿宋_GB2312" w:cs="仿宋_GB2312"/>
          <w:snapToGrid/>
          <w:color w:val="000000"/>
          <w:kern w:val="21"/>
          <w:sz w:val="32"/>
          <w:szCs w:val="32"/>
          <w:lang w:val="en-US" w:eastAsia="zh-CN" w:bidi="ar"/>
        </w:rPr>
        <w:t>新建区妇幼保健计划生育服务中心</w:t>
      </w:r>
      <w:r>
        <w:rPr>
          <w:rFonts w:hint="default" w:ascii="仿宋_GB2312" w:hAnsi="Times New Roman" w:eastAsia="仿宋_GB2312" w:cs="仿宋_GB2312"/>
          <w:snapToGrid/>
          <w:color w:val="000000"/>
          <w:kern w:val="21"/>
          <w:sz w:val="32"/>
          <w:szCs w:val="32"/>
          <w:lang w:val="en-US" w:eastAsia="zh-CN" w:bidi="ar"/>
        </w:rPr>
        <w:t>收入预算总额为</w:t>
      </w:r>
      <w:r>
        <w:rPr>
          <w:rFonts w:hint="eastAsia" w:ascii="Times New Roman" w:hAnsi="Times New Roman" w:eastAsia="仿宋_GB2312" w:cs="Times New Roman"/>
          <w:snapToGrid/>
          <w:color w:val="000000"/>
          <w:kern w:val="21"/>
          <w:sz w:val="32"/>
          <w:szCs w:val="32"/>
          <w:lang w:val="en-US" w:eastAsia="zh-CN" w:bidi="ar"/>
        </w:rPr>
        <w:t>1828.52</w:t>
      </w:r>
      <w:r>
        <w:rPr>
          <w:rFonts w:hint="default" w:ascii="仿宋_GB2312" w:hAnsi="Times New Roman" w:eastAsia="仿宋_GB2312" w:cs="仿宋_GB2312"/>
          <w:snapToGrid/>
          <w:color w:val="000000"/>
          <w:kern w:val="21"/>
          <w:sz w:val="32"/>
          <w:szCs w:val="32"/>
          <w:lang w:val="en-US" w:eastAsia="zh-CN" w:bidi="ar"/>
        </w:rPr>
        <w:t>万元，较上年</w:t>
      </w:r>
      <w:r>
        <w:rPr>
          <w:rFonts w:hint="eastAsia" w:ascii="仿宋_GB2312" w:hAnsi="Times New Roman" w:eastAsia="仿宋_GB2312" w:cs="仿宋_GB2312"/>
          <w:snapToGrid/>
          <w:color w:val="000000"/>
          <w:kern w:val="21"/>
          <w:sz w:val="32"/>
          <w:szCs w:val="32"/>
          <w:lang w:val="en-US" w:eastAsia="zh-CN" w:bidi="ar"/>
        </w:rPr>
        <w:t>减少2899.53</w:t>
      </w:r>
      <w:r>
        <w:rPr>
          <w:rFonts w:hint="default" w:ascii="仿宋_GB2312" w:hAnsi="Times New Roman" w:eastAsia="仿宋_GB2312" w:cs="仿宋_GB2312"/>
          <w:snapToGrid/>
          <w:color w:val="000000"/>
          <w:kern w:val="21"/>
          <w:sz w:val="32"/>
          <w:szCs w:val="32"/>
          <w:lang w:val="en-US" w:eastAsia="zh-CN" w:bidi="ar"/>
        </w:rPr>
        <w:t>万元，其中：财政拨款收入</w:t>
      </w:r>
      <w:r>
        <w:rPr>
          <w:rFonts w:hint="eastAsia" w:ascii="Times New Roman" w:hAnsi="Times New Roman" w:eastAsia="仿宋_GB2312" w:cs="Times New Roman"/>
          <w:snapToGrid/>
          <w:color w:val="000000"/>
          <w:kern w:val="21"/>
          <w:sz w:val="32"/>
          <w:szCs w:val="32"/>
          <w:lang w:val="en-US" w:eastAsia="zh-CN" w:bidi="ar"/>
        </w:rPr>
        <w:t>1227.02</w:t>
      </w:r>
      <w:r>
        <w:rPr>
          <w:rFonts w:hint="default" w:ascii="仿宋_GB2312" w:hAnsi="Times New Roman" w:eastAsia="仿宋_GB2312" w:cs="仿宋_GB2312"/>
          <w:snapToGrid/>
          <w:color w:val="000000"/>
          <w:kern w:val="21"/>
          <w:sz w:val="32"/>
          <w:szCs w:val="32"/>
          <w:lang w:val="en-US" w:eastAsia="zh-CN" w:bidi="ar"/>
        </w:rPr>
        <w:t>万元，占收入预算总额的</w:t>
      </w:r>
      <w:r>
        <w:rPr>
          <w:rFonts w:hint="eastAsia" w:ascii="Times New Roman" w:hAnsi="Times New Roman" w:eastAsia="仿宋_GB2312" w:cs="Times New Roman"/>
          <w:snapToGrid/>
          <w:color w:val="000000"/>
          <w:kern w:val="21"/>
          <w:sz w:val="32"/>
          <w:szCs w:val="32"/>
          <w:lang w:val="en-US" w:eastAsia="zh-CN" w:bidi="ar"/>
        </w:rPr>
        <w:t>67.1</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，较上年</w:t>
      </w:r>
      <w:r>
        <w:rPr>
          <w:rFonts w:hint="eastAsia" w:ascii="仿宋_GB2312" w:hAnsi="Times New Roman" w:eastAsia="仿宋_GB2312" w:cs="仿宋_GB2312"/>
          <w:snapToGrid/>
          <w:color w:val="000000"/>
          <w:kern w:val="21"/>
          <w:sz w:val="32"/>
          <w:szCs w:val="32"/>
          <w:lang w:val="en-US" w:eastAsia="zh-CN" w:bidi="ar"/>
        </w:rPr>
        <w:t>增加</w:t>
      </w:r>
      <w:r>
        <w:rPr>
          <w:rFonts w:hint="eastAsia" w:ascii="Times New Roman" w:hAnsi="Times New Roman" w:eastAsia="仿宋_GB2312" w:cs="Times New Roman"/>
          <w:snapToGrid/>
          <w:color w:val="000000"/>
          <w:kern w:val="21"/>
          <w:sz w:val="32"/>
          <w:szCs w:val="32"/>
          <w:lang w:val="en-US" w:eastAsia="zh-CN" w:bidi="ar"/>
        </w:rPr>
        <w:t>161.97</w:t>
      </w:r>
      <w:r>
        <w:rPr>
          <w:rFonts w:hint="default" w:ascii="仿宋_GB2312" w:hAnsi="Times New Roman" w:eastAsia="仿宋_GB2312" w:cs="仿宋_GB2312"/>
          <w:snapToGrid/>
          <w:color w:val="000000"/>
          <w:kern w:val="21"/>
          <w:sz w:val="32"/>
          <w:szCs w:val="32"/>
          <w:lang w:val="en-US" w:eastAsia="zh-CN" w:bidi="ar"/>
        </w:rPr>
        <w:t>万元，增长</w:t>
      </w:r>
      <w:r>
        <w:rPr>
          <w:rFonts w:hint="eastAsia" w:ascii="Times New Roman" w:hAnsi="Times New Roman" w:eastAsia="仿宋_GB2312" w:cs="Times New Roman"/>
          <w:snapToGrid/>
          <w:color w:val="000000"/>
          <w:kern w:val="21"/>
          <w:sz w:val="32"/>
          <w:szCs w:val="32"/>
          <w:lang w:val="en-US" w:eastAsia="zh-CN" w:bidi="ar"/>
        </w:rPr>
        <w:t>15.21</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，主要原因是：人员经费增加。事业收入</w:t>
      </w:r>
      <w:r>
        <w:rPr>
          <w:rFonts w:hint="eastAsia" w:ascii="仿宋_GB2312" w:hAnsi="Times New Roman" w:eastAsia="仿宋_GB2312" w:cs="仿宋_GB2312"/>
          <w:snapToGrid/>
          <w:color w:val="000000"/>
          <w:kern w:val="21"/>
          <w:sz w:val="32"/>
          <w:szCs w:val="32"/>
          <w:lang w:val="en-US" w:eastAsia="zh-CN" w:bidi="ar"/>
        </w:rPr>
        <w:t>200</w:t>
      </w:r>
      <w:r>
        <w:rPr>
          <w:rFonts w:hint="default" w:ascii="仿宋_GB2312" w:hAnsi="Times New Roman" w:eastAsia="仿宋_GB2312" w:cs="仿宋_GB2312"/>
          <w:snapToGrid/>
          <w:color w:val="000000"/>
          <w:kern w:val="21"/>
          <w:sz w:val="32"/>
          <w:szCs w:val="32"/>
          <w:lang w:val="en-US" w:eastAsia="zh-CN" w:bidi="ar"/>
        </w:rPr>
        <w:t>万元，占收入预算总额的</w:t>
      </w:r>
      <w:r>
        <w:rPr>
          <w:rFonts w:hint="eastAsia" w:ascii="仿宋_GB2312" w:hAnsi="Times New Roman" w:eastAsia="仿宋_GB2312" w:cs="仿宋_GB2312"/>
          <w:snapToGrid/>
          <w:color w:val="000000"/>
          <w:kern w:val="21"/>
          <w:sz w:val="32"/>
          <w:szCs w:val="32"/>
          <w:lang w:val="en-US" w:eastAsia="zh-CN" w:bidi="ar"/>
        </w:rPr>
        <w:t>10.94</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，较上年</w:t>
      </w:r>
      <w:r>
        <w:rPr>
          <w:rFonts w:hint="eastAsia" w:ascii="仿宋_GB2312" w:hAnsi="Times New Roman" w:eastAsia="仿宋_GB2312" w:cs="仿宋_GB2312"/>
          <w:snapToGrid/>
          <w:color w:val="000000"/>
          <w:kern w:val="21"/>
          <w:sz w:val="32"/>
          <w:szCs w:val="32"/>
          <w:lang w:val="en-US" w:eastAsia="zh-CN" w:bidi="ar"/>
        </w:rPr>
        <w:t>减少</w:t>
      </w:r>
      <w:r>
        <w:rPr>
          <w:rFonts w:hint="eastAsia" w:ascii="Times New Roman" w:hAnsi="Times New Roman" w:eastAsia="仿宋_GB2312" w:cs="Times New Roman"/>
          <w:snapToGrid/>
          <w:color w:val="000000"/>
          <w:kern w:val="21"/>
          <w:sz w:val="32"/>
          <w:szCs w:val="32"/>
          <w:lang w:val="en-US" w:eastAsia="zh-CN" w:bidi="ar"/>
        </w:rPr>
        <w:t>300</w:t>
      </w:r>
      <w:r>
        <w:rPr>
          <w:rFonts w:hint="default" w:ascii="仿宋_GB2312" w:hAnsi="Times New Roman" w:eastAsia="仿宋_GB2312" w:cs="仿宋_GB2312"/>
          <w:snapToGrid/>
          <w:color w:val="000000"/>
          <w:kern w:val="21"/>
          <w:sz w:val="32"/>
          <w:szCs w:val="32"/>
          <w:lang w:val="en-US" w:eastAsia="zh-CN" w:bidi="ar"/>
        </w:rPr>
        <w:t>万元，主要原因是：</w:t>
      </w:r>
      <w:r>
        <w:rPr>
          <w:rFonts w:hint="eastAsia" w:ascii="仿宋_GB2312" w:hAnsi="Times New Roman" w:eastAsia="仿宋_GB2312" w:cs="仿宋_GB2312"/>
          <w:snapToGrid/>
          <w:color w:val="000000"/>
          <w:kern w:val="21"/>
          <w:sz w:val="32"/>
          <w:szCs w:val="32"/>
          <w:lang w:val="en-US" w:eastAsia="zh-CN" w:bidi="ar"/>
        </w:rPr>
        <w:t>去年事业收入预算过大</w:t>
      </w:r>
      <w:r>
        <w:rPr>
          <w:rFonts w:hint="default" w:ascii="仿宋_GB2312" w:hAnsi="Times New Roman" w:eastAsia="仿宋_GB2312" w:cs="仿宋_GB2312"/>
          <w:snapToGrid/>
          <w:color w:val="000000"/>
          <w:kern w:val="21"/>
          <w:sz w:val="32"/>
          <w:szCs w:val="32"/>
          <w:lang w:val="en-US" w:eastAsia="zh-CN" w:bidi="ar"/>
        </w:rPr>
        <w:t>。</w:t>
      </w:r>
      <w:r>
        <w:rPr>
          <w:rFonts w:hint="eastAsia" w:ascii="仿宋_GB2312" w:hAnsi="Times New Roman" w:eastAsia="仿宋_GB2312" w:cs="仿宋_GB2312"/>
          <w:snapToGrid/>
          <w:color w:val="000000"/>
          <w:kern w:val="21"/>
          <w:sz w:val="32"/>
          <w:szCs w:val="32"/>
          <w:lang w:val="en-US" w:eastAsia="zh-CN" w:bidi="ar"/>
        </w:rPr>
        <w:t>其他收入401.5万元，占收入预算总额的21.96%，较上年减少2758.5万元，主要原因是：去年其他收入预算过大。</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（二）支出预算情况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jc w:val="both"/>
        <w:textAlignment w:val="baseline"/>
        <w:rPr>
          <w:rFonts w:hint="default" w:ascii="Times New Roman" w:hAnsi="Times New Roman" w:eastAsia="仿宋_GB2312" w:cs="Times New Roman"/>
          <w:color w:val="000000"/>
          <w:kern w:val="21"/>
          <w:sz w:val="32"/>
          <w:szCs w:val="32"/>
        </w:rPr>
      </w:pPr>
      <w:r>
        <w:rPr>
          <w:rFonts w:hint="default" w:ascii="Times New Roman" w:hAnsi="Times New Roman" w:eastAsia="仿宋_GB2312" w:cs="Times New Roman"/>
          <w:snapToGrid/>
          <w:color w:val="000000"/>
          <w:kern w:val="21"/>
          <w:sz w:val="32"/>
          <w:szCs w:val="32"/>
          <w:lang w:val="en-US" w:eastAsia="zh-CN" w:bidi="ar"/>
        </w:rPr>
        <w:t>2024</w:t>
      </w:r>
      <w:r>
        <w:rPr>
          <w:rFonts w:hint="default" w:ascii="仿宋_GB2312" w:hAnsi="Times New Roman" w:eastAsia="仿宋_GB2312" w:cs="仿宋_GB2312"/>
          <w:snapToGrid/>
          <w:color w:val="000000"/>
          <w:kern w:val="21"/>
          <w:sz w:val="32"/>
          <w:szCs w:val="32"/>
          <w:lang w:val="en-US" w:eastAsia="zh-CN" w:bidi="ar"/>
        </w:rPr>
        <w:t>年</w:t>
      </w:r>
      <w:r>
        <w:rPr>
          <w:rFonts w:hint="eastAsia" w:ascii="仿宋_GB2312" w:hAnsi="Times New Roman" w:eastAsia="仿宋_GB2312" w:cs="仿宋_GB2312"/>
          <w:snapToGrid/>
          <w:color w:val="000000"/>
          <w:kern w:val="21"/>
          <w:sz w:val="32"/>
          <w:szCs w:val="32"/>
          <w:lang w:val="en-US" w:eastAsia="zh-CN" w:bidi="ar"/>
        </w:rPr>
        <w:t>新建区妇幼保健计划生育服务中心</w:t>
      </w:r>
      <w:r>
        <w:rPr>
          <w:rFonts w:hint="default" w:ascii="仿宋_GB2312" w:hAnsi="Times New Roman" w:eastAsia="仿宋_GB2312" w:cs="仿宋_GB2312"/>
          <w:snapToGrid/>
          <w:color w:val="000000"/>
          <w:kern w:val="21"/>
          <w:sz w:val="32"/>
          <w:szCs w:val="32"/>
          <w:lang w:val="en-US" w:eastAsia="zh-CN" w:bidi="ar"/>
        </w:rPr>
        <w:t>支出预算总额为</w:t>
      </w:r>
      <w:r>
        <w:rPr>
          <w:rFonts w:hint="eastAsia" w:ascii="Times New Roman" w:hAnsi="Times New Roman" w:eastAsia="仿宋_GB2312" w:cs="Times New Roman"/>
          <w:snapToGrid/>
          <w:color w:val="000000"/>
          <w:kern w:val="21"/>
          <w:sz w:val="32"/>
          <w:szCs w:val="32"/>
          <w:lang w:val="en-US" w:eastAsia="zh-CN" w:bidi="ar"/>
        </w:rPr>
        <w:t>1828.52</w:t>
      </w:r>
      <w:r>
        <w:rPr>
          <w:rFonts w:hint="default" w:ascii="仿宋_GB2312" w:hAnsi="Times New Roman" w:eastAsia="仿宋_GB2312" w:cs="仿宋_GB2312"/>
          <w:snapToGrid/>
          <w:color w:val="000000"/>
          <w:kern w:val="21"/>
          <w:sz w:val="32"/>
          <w:szCs w:val="32"/>
          <w:lang w:val="en-US" w:eastAsia="zh-CN" w:bidi="ar"/>
        </w:rPr>
        <w:t>万元，较上年</w:t>
      </w:r>
      <w:r>
        <w:rPr>
          <w:rFonts w:hint="eastAsia" w:ascii="仿宋_GB2312" w:hAnsi="Times New Roman" w:eastAsia="仿宋_GB2312" w:cs="仿宋_GB2312"/>
          <w:snapToGrid/>
          <w:color w:val="000000"/>
          <w:kern w:val="21"/>
          <w:sz w:val="32"/>
          <w:szCs w:val="32"/>
          <w:lang w:val="en-US" w:eastAsia="zh-CN" w:bidi="ar"/>
        </w:rPr>
        <w:t>减少2899.53</w:t>
      </w:r>
      <w:r>
        <w:rPr>
          <w:rFonts w:hint="default" w:ascii="仿宋_GB2312" w:hAnsi="Times New Roman" w:eastAsia="仿宋_GB2312" w:cs="仿宋_GB2312"/>
          <w:snapToGrid/>
          <w:color w:val="000000"/>
          <w:kern w:val="21"/>
          <w:sz w:val="32"/>
          <w:szCs w:val="32"/>
          <w:lang w:val="en-US" w:eastAsia="zh-CN" w:bidi="ar"/>
        </w:rPr>
        <w:t>万元，主要原因是：</w:t>
      </w:r>
      <w:r>
        <w:rPr>
          <w:rFonts w:hint="eastAsia" w:ascii="仿宋_GB2312" w:hAnsi="Times New Roman" w:eastAsia="仿宋_GB2312" w:cs="仿宋_GB2312"/>
          <w:snapToGrid/>
          <w:color w:val="000000"/>
          <w:kern w:val="21"/>
          <w:sz w:val="32"/>
          <w:szCs w:val="32"/>
          <w:lang w:val="en-US" w:eastAsia="zh-CN" w:bidi="ar"/>
        </w:rPr>
        <w:t>事业收入、其他收入去年预算过大</w:t>
      </w:r>
      <w:r>
        <w:rPr>
          <w:rFonts w:hint="default" w:ascii="仿宋_GB2312" w:hAnsi="Times New Roman" w:eastAsia="仿宋_GB2312" w:cs="仿宋_GB2312"/>
          <w:snapToGrid/>
          <w:color w:val="000000"/>
          <w:kern w:val="21"/>
          <w:sz w:val="32"/>
          <w:szCs w:val="32"/>
          <w:lang w:val="en-US" w:eastAsia="zh-CN" w:bidi="ar"/>
        </w:rPr>
        <w:t>。其中：</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29"/>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按支出项目类别划分：基本支出</w:t>
      </w:r>
      <w:r>
        <w:rPr>
          <w:rFonts w:hint="eastAsia" w:ascii="仿宋_GB2312" w:hAnsi="Times New Roman" w:eastAsia="仿宋_GB2312" w:cs="仿宋_GB2312"/>
          <w:snapToGrid/>
          <w:color w:val="000000"/>
          <w:kern w:val="21"/>
          <w:sz w:val="32"/>
          <w:szCs w:val="32"/>
          <w:lang w:val="en-US" w:eastAsia="zh-CN" w:bidi="ar"/>
        </w:rPr>
        <w:t>1177.02</w:t>
      </w:r>
      <w:r>
        <w:rPr>
          <w:rFonts w:hint="default" w:ascii="仿宋_GB2312" w:hAnsi="Times New Roman" w:eastAsia="仿宋_GB2312" w:cs="仿宋_GB2312"/>
          <w:snapToGrid/>
          <w:color w:val="000000"/>
          <w:kern w:val="21"/>
          <w:sz w:val="32"/>
          <w:szCs w:val="32"/>
          <w:lang w:val="en-US" w:eastAsia="zh-CN" w:bidi="ar"/>
        </w:rPr>
        <w:t>万元，其中：工资福利支出</w:t>
      </w:r>
      <w:r>
        <w:rPr>
          <w:rFonts w:hint="eastAsia" w:ascii="仿宋_GB2312" w:hAnsi="Times New Roman" w:eastAsia="仿宋_GB2312" w:cs="仿宋_GB2312"/>
          <w:snapToGrid/>
          <w:color w:val="000000"/>
          <w:kern w:val="21"/>
          <w:sz w:val="32"/>
          <w:szCs w:val="32"/>
          <w:lang w:val="en-US" w:eastAsia="zh-CN" w:bidi="ar"/>
        </w:rPr>
        <w:t>1073.55</w:t>
      </w:r>
      <w:r>
        <w:rPr>
          <w:rFonts w:hint="default" w:ascii="仿宋_GB2312" w:hAnsi="Times New Roman" w:eastAsia="仿宋_GB2312" w:cs="仿宋_GB2312"/>
          <w:snapToGrid/>
          <w:color w:val="000000"/>
          <w:kern w:val="21"/>
          <w:sz w:val="32"/>
          <w:szCs w:val="32"/>
          <w:lang w:val="en-US" w:eastAsia="zh-CN" w:bidi="ar"/>
        </w:rPr>
        <w:t>万元、商品和服务支出</w:t>
      </w:r>
      <w:r>
        <w:rPr>
          <w:rFonts w:hint="eastAsia" w:ascii="仿宋_GB2312" w:hAnsi="Times New Roman" w:eastAsia="仿宋_GB2312" w:cs="仿宋_GB2312"/>
          <w:snapToGrid/>
          <w:color w:val="000000"/>
          <w:kern w:val="21"/>
          <w:sz w:val="32"/>
          <w:szCs w:val="32"/>
          <w:lang w:val="en-US" w:eastAsia="zh-CN" w:bidi="ar"/>
        </w:rPr>
        <w:t>99.05</w:t>
      </w:r>
      <w:r>
        <w:rPr>
          <w:rFonts w:hint="default" w:ascii="仿宋_GB2312" w:hAnsi="Times New Roman" w:eastAsia="仿宋_GB2312" w:cs="仿宋_GB2312"/>
          <w:snapToGrid/>
          <w:color w:val="000000"/>
          <w:kern w:val="21"/>
          <w:sz w:val="32"/>
          <w:szCs w:val="32"/>
          <w:lang w:val="en-US" w:eastAsia="zh-CN" w:bidi="ar"/>
        </w:rPr>
        <w:t>万元、对个人和家庭的补助</w:t>
      </w:r>
      <w:r>
        <w:rPr>
          <w:rFonts w:hint="eastAsia" w:ascii="仿宋_GB2312" w:hAnsi="Times New Roman" w:eastAsia="仿宋_GB2312" w:cs="仿宋_GB2312"/>
          <w:snapToGrid/>
          <w:color w:val="000000"/>
          <w:kern w:val="21"/>
          <w:sz w:val="32"/>
          <w:szCs w:val="32"/>
          <w:lang w:val="en-US" w:eastAsia="zh-CN" w:bidi="ar"/>
        </w:rPr>
        <w:t>4.43</w:t>
      </w:r>
      <w:r>
        <w:rPr>
          <w:rFonts w:hint="default" w:ascii="仿宋_GB2312" w:hAnsi="Times New Roman" w:eastAsia="仿宋_GB2312" w:cs="仿宋_GB2312"/>
          <w:snapToGrid/>
          <w:color w:val="000000"/>
          <w:kern w:val="21"/>
          <w:sz w:val="32"/>
          <w:szCs w:val="32"/>
          <w:lang w:val="en-US" w:eastAsia="zh-CN" w:bidi="ar"/>
        </w:rPr>
        <w:t>万元；</w:t>
      </w:r>
      <w:r>
        <w:rPr>
          <w:rFonts w:hint="eastAsia" w:ascii="仿宋_GB2312" w:hAnsi="Times New Roman" w:eastAsia="仿宋_GB2312" w:cs="仿宋_GB2312"/>
          <w:snapToGrid/>
          <w:color w:val="000000"/>
          <w:kern w:val="21"/>
          <w:sz w:val="32"/>
          <w:szCs w:val="32"/>
          <w:lang w:val="en-US" w:eastAsia="zh-CN" w:bidi="ar"/>
        </w:rPr>
        <w:t>公用经费99.05万元</w:t>
      </w:r>
      <w:r>
        <w:rPr>
          <w:rFonts w:hint="default" w:ascii="仿宋_GB2312" w:hAnsi="Times New Roman" w:eastAsia="仿宋_GB2312" w:cs="仿宋_GB2312"/>
          <w:snapToGrid/>
          <w:color w:val="000000"/>
          <w:kern w:val="21"/>
          <w:sz w:val="32"/>
          <w:szCs w:val="32"/>
          <w:lang w:val="en-US" w:eastAsia="zh-CN" w:bidi="ar"/>
        </w:rPr>
        <w:t>，其中：商品和服务支出</w:t>
      </w:r>
      <w:r>
        <w:rPr>
          <w:rFonts w:hint="eastAsia" w:ascii="Times New Roman" w:hAnsi="Times New Roman" w:eastAsia="仿宋_GB2312" w:cs="Times New Roman"/>
          <w:snapToGrid/>
          <w:color w:val="000000"/>
          <w:kern w:val="21"/>
          <w:sz w:val="32"/>
          <w:szCs w:val="32"/>
          <w:lang w:val="en-US" w:eastAsia="zh-CN" w:bidi="ar"/>
        </w:rPr>
        <w:t>99.05</w:t>
      </w:r>
      <w:r>
        <w:rPr>
          <w:rFonts w:hint="default" w:ascii="仿宋_GB2312" w:hAnsi="Times New Roman" w:eastAsia="仿宋_GB2312" w:cs="仿宋_GB2312"/>
          <w:snapToGrid/>
          <w:color w:val="000000"/>
          <w:kern w:val="21"/>
          <w:sz w:val="32"/>
          <w:szCs w:val="32"/>
          <w:lang w:val="en-US" w:eastAsia="zh-CN" w:bidi="ar"/>
        </w:rPr>
        <w:t>万元。</w:t>
      </w:r>
      <w:r>
        <w:rPr>
          <w:rFonts w:hint="default" w:ascii="Times New Roman" w:hAnsi="Times New Roman" w:eastAsia="仿宋_GB2312" w:cs="Times New Roman"/>
          <w:snapToGrid/>
          <w:color w:val="000000"/>
          <w:kern w:val="21"/>
          <w:sz w:val="32"/>
          <w:szCs w:val="32"/>
          <w:lang w:val="en-US" w:eastAsia="zh-CN" w:bidi="ar"/>
        </w:rPr>
        <w:t xml:space="preserve"> </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按支出经济分类划分：工资福利支出</w:t>
      </w:r>
      <w:r>
        <w:rPr>
          <w:rFonts w:hint="eastAsia" w:ascii="仿宋_GB2312" w:hAnsi="Times New Roman" w:eastAsia="仿宋_GB2312" w:cs="仿宋_GB2312"/>
          <w:snapToGrid/>
          <w:color w:val="000000"/>
          <w:kern w:val="21"/>
          <w:sz w:val="32"/>
          <w:szCs w:val="32"/>
          <w:lang w:val="en-US" w:eastAsia="zh-CN" w:bidi="ar"/>
        </w:rPr>
        <w:t>1073.55</w:t>
      </w:r>
      <w:r>
        <w:rPr>
          <w:rFonts w:hint="default" w:ascii="仿宋_GB2312" w:hAnsi="Times New Roman" w:eastAsia="仿宋_GB2312" w:cs="仿宋_GB2312"/>
          <w:snapToGrid/>
          <w:color w:val="000000"/>
          <w:kern w:val="21"/>
          <w:sz w:val="32"/>
          <w:szCs w:val="32"/>
          <w:lang w:val="en-US" w:eastAsia="zh-CN" w:bidi="ar"/>
        </w:rPr>
        <w:t>万元、商品和服务支出</w:t>
      </w:r>
      <w:r>
        <w:rPr>
          <w:rFonts w:hint="eastAsia" w:ascii="仿宋_GB2312" w:hAnsi="Times New Roman" w:eastAsia="仿宋_GB2312" w:cs="仿宋_GB2312"/>
          <w:snapToGrid/>
          <w:color w:val="000000"/>
          <w:kern w:val="21"/>
          <w:sz w:val="32"/>
          <w:szCs w:val="32"/>
          <w:lang w:val="en-US" w:eastAsia="zh-CN" w:bidi="ar"/>
        </w:rPr>
        <w:t>99.05</w:t>
      </w:r>
      <w:r>
        <w:rPr>
          <w:rFonts w:hint="default" w:ascii="仿宋_GB2312" w:hAnsi="Times New Roman" w:eastAsia="仿宋_GB2312" w:cs="仿宋_GB2312"/>
          <w:snapToGrid/>
          <w:color w:val="000000"/>
          <w:kern w:val="21"/>
          <w:sz w:val="32"/>
          <w:szCs w:val="32"/>
          <w:lang w:val="en-US" w:eastAsia="zh-CN" w:bidi="ar"/>
        </w:rPr>
        <w:t>万元、对个人和家庭的补助</w:t>
      </w:r>
      <w:r>
        <w:rPr>
          <w:rFonts w:hint="eastAsia" w:ascii="仿宋_GB2312" w:hAnsi="Times New Roman" w:eastAsia="仿宋_GB2312" w:cs="仿宋_GB2312"/>
          <w:snapToGrid/>
          <w:color w:val="000000"/>
          <w:kern w:val="21"/>
          <w:sz w:val="32"/>
          <w:szCs w:val="32"/>
          <w:lang w:val="en-US" w:eastAsia="zh-CN" w:bidi="ar"/>
        </w:rPr>
        <w:t>4.43</w:t>
      </w:r>
      <w:r>
        <w:rPr>
          <w:rFonts w:hint="default" w:ascii="仿宋_GB2312" w:hAnsi="Times New Roman" w:eastAsia="仿宋_GB2312" w:cs="仿宋_GB2312"/>
          <w:snapToGrid/>
          <w:color w:val="000000"/>
          <w:kern w:val="21"/>
          <w:sz w:val="32"/>
          <w:szCs w:val="32"/>
          <w:lang w:val="en-US" w:eastAsia="zh-CN" w:bidi="ar"/>
        </w:rPr>
        <w:t>万元；</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（三）财政拨款支出情况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default" w:ascii="Times New Roman" w:hAnsi="Times New Roman" w:eastAsia="仿宋_GB2312" w:cs="Times New Roman"/>
          <w:snapToGrid/>
          <w:color w:val="000000"/>
          <w:kern w:val="21"/>
          <w:sz w:val="32"/>
          <w:szCs w:val="32"/>
          <w:lang w:val="en-US" w:eastAsia="zh-CN" w:bidi="ar"/>
        </w:rPr>
        <w:t>2024</w:t>
      </w:r>
      <w:r>
        <w:rPr>
          <w:rFonts w:hint="default" w:ascii="仿宋_GB2312" w:hAnsi="Times New Roman" w:eastAsia="仿宋_GB2312" w:cs="仿宋_GB2312"/>
          <w:snapToGrid/>
          <w:color w:val="000000"/>
          <w:kern w:val="21"/>
          <w:sz w:val="32"/>
          <w:szCs w:val="32"/>
          <w:lang w:val="en-US" w:eastAsia="zh-CN" w:bidi="ar"/>
        </w:rPr>
        <w:t>年</w:t>
      </w:r>
      <w:r>
        <w:rPr>
          <w:rFonts w:hint="eastAsia" w:ascii="仿宋_GB2312" w:hAnsi="Times New Roman" w:eastAsia="仿宋_GB2312" w:cs="仿宋_GB2312"/>
          <w:snapToGrid/>
          <w:color w:val="000000"/>
          <w:kern w:val="21"/>
          <w:sz w:val="32"/>
          <w:szCs w:val="32"/>
          <w:lang w:val="en-US" w:eastAsia="zh-CN" w:bidi="ar"/>
        </w:rPr>
        <w:t>新建区妇幼保健计划生育服务中心</w:t>
      </w:r>
      <w:r>
        <w:rPr>
          <w:rFonts w:hint="default" w:ascii="仿宋_GB2312" w:hAnsi="Times New Roman" w:eastAsia="仿宋_GB2312" w:cs="仿宋_GB2312"/>
          <w:snapToGrid/>
          <w:color w:val="000000"/>
          <w:kern w:val="21"/>
          <w:sz w:val="32"/>
          <w:szCs w:val="32"/>
          <w:lang w:val="en-US" w:eastAsia="zh-CN" w:bidi="ar"/>
        </w:rPr>
        <w:t>财政拨款支出预算</w:t>
      </w:r>
      <w:r>
        <w:rPr>
          <w:rFonts w:hint="eastAsia" w:ascii="Times New Roman" w:hAnsi="Times New Roman" w:eastAsia="仿宋_GB2312" w:cs="Times New Roman"/>
          <w:snapToGrid/>
          <w:color w:val="000000"/>
          <w:kern w:val="21"/>
          <w:sz w:val="32"/>
          <w:szCs w:val="32"/>
          <w:lang w:val="en-US" w:eastAsia="zh-CN" w:bidi="ar"/>
        </w:rPr>
        <w:t>1227.02</w:t>
      </w:r>
      <w:r>
        <w:rPr>
          <w:rFonts w:hint="default" w:ascii="仿宋_GB2312" w:hAnsi="Times New Roman" w:eastAsia="仿宋_GB2312" w:cs="仿宋_GB2312"/>
          <w:snapToGrid/>
          <w:color w:val="000000"/>
          <w:kern w:val="21"/>
          <w:sz w:val="32"/>
          <w:szCs w:val="32"/>
          <w:lang w:val="en-US" w:eastAsia="zh-CN" w:bidi="ar"/>
        </w:rPr>
        <w:t>万元，较上年增加</w:t>
      </w:r>
      <w:r>
        <w:rPr>
          <w:rFonts w:hint="eastAsia" w:ascii="Times New Roman" w:hAnsi="Times New Roman" w:eastAsia="仿宋_GB2312" w:cs="Times New Roman"/>
          <w:snapToGrid/>
          <w:color w:val="000000"/>
          <w:kern w:val="21"/>
          <w:sz w:val="32"/>
          <w:szCs w:val="32"/>
          <w:lang w:val="en-US" w:eastAsia="zh-CN" w:bidi="ar"/>
        </w:rPr>
        <w:t>161.97</w:t>
      </w:r>
      <w:r>
        <w:rPr>
          <w:rFonts w:hint="default" w:ascii="仿宋_GB2312" w:hAnsi="Times New Roman" w:eastAsia="仿宋_GB2312" w:cs="仿宋_GB2312"/>
          <w:snapToGrid/>
          <w:color w:val="000000"/>
          <w:kern w:val="21"/>
          <w:sz w:val="32"/>
          <w:szCs w:val="32"/>
          <w:lang w:val="en-US" w:eastAsia="zh-CN" w:bidi="ar"/>
        </w:rPr>
        <w:t>万元，增长</w:t>
      </w:r>
      <w:r>
        <w:rPr>
          <w:rFonts w:hint="eastAsia" w:ascii="Times New Roman" w:hAnsi="Times New Roman" w:eastAsia="仿宋_GB2312" w:cs="Times New Roman"/>
          <w:snapToGrid/>
          <w:color w:val="000000"/>
          <w:kern w:val="21"/>
          <w:sz w:val="32"/>
          <w:szCs w:val="32"/>
          <w:lang w:val="en-US" w:eastAsia="zh-CN" w:bidi="ar"/>
        </w:rPr>
        <w:t>15.21</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，主要原因是：人员经费增加。</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19"/>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按支出功能科目划分：社会保障和就业支出</w:t>
      </w:r>
      <w:r>
        <w:rPr>
          <w:rFonts w:hint="eastAsia" w:ascii="Times New Roman" w:hAnsi="Times New Roman" w:eastAsia="仿宋_GB2312" w:cs="Times New Roman"/>
          <w:snapToGrid/>
          <w:color w:val="000000"/>
          <w:kern w:val="21"/>
          <w:sz w:val="32"/>
          <w:szCs w:val="32"/>
          <w:lang w:val="en-US" w:eastAsia="zh-CN" w:bidi="ar"/>
        </w:rPr>
        <w:t>97.42</w:t>
      </w:r>
      <w:r>
        <w:rPr>
          <w:rFonts w:hint="default" w:ascii="仿宋_GB2312" w:hAnsi="Times New Roman" w:eastAsia="仿宋_GB2312" w:cs="仿宋_GB2312"/>
          <w:snapToGrid/>
          <w:color w:val="000000"/>
          <w:kern w:val="21"/>
          <w:sz w:val="32"/>
          <w:szCs w:val="32"/>
          <w:lang w:val="en-US" w:eastAsia="zh-CN" w:bidi="ar"/>
        </w:rPr>
        <w:t>万元，卫生健康支出</w:t>
      </w:r>
      <w:r>
        <w:rPr>
          <w:rFonts w:hint="eastAsia" w:ascii="仿宋_GB2312" w:hAnsi="Times New Roman" w:eastAsia="仿宋_GB2312" w:cs="仿宋_GB2312"/>
          <w:snapToGrid/>
          <w:color w:val="000000"/>
          <w:kern w:val="21"/>
          <w:sz w:val="32"/>
          <w:szCs w:val="32"/>
          <w:lang w:val="en-US" w:eastAsia="zh-CN" w:bidi="ar"/>
        </w:rPr>
        <w:t>1048.26</w:t>
      </w:r>
      <w:r>
        <w:rPr>
          <w:rFonts w:hint="default" w:ascii="仿宋_GB2312" w:hAnsi="Times New Roman" w:eastAsia="仿宋_GB2312" w:cs="仿宋_GB2312"/>
          <w:snapToGrid/>
          <w:color w:val="000000"/>
          <w:kern w:val="21"/>
          <w:sz w:val="32"/>
          <w:szCs w:val="32"/>
          <w:lang w:val="en-US" w:eastAsia="zh-CN" w:bidi="ar"/>
        </w:rPr>
        <w:t>万元，住房保障支出</w:t>
      </w:r>
      <w:r>
        <w:rPr>
          <w:rFonts w:hint="eastAsia" w:ascii="仿宋_GB2312" w:hAnsi="Times New Roman" w:eastAsia="仿宋_GB2312" w:cs="仿宋_GB2312"/>
          <w:snapToGrid/>
          <w:color w:val="000000"/>
          <w:kern w:val="21"/>
          <w:sz w:val="32"/>
          <w:szCs w:val="32"/>
          <w:lang w:val="en-US" w:eastAsia="zh-CN" w:bidi="ar"/>
        </w:rPr>
        <w:t>81.34</w:t>
      </w:r>
      <w:r>
        <w:rPr>
          <w:rFonts w:hint="default" w:ascii="仿宋_GB2312" w:hAnsi="Times New Roman" w:eastAsia="仿宋_GB2312" w:cs="仿宋_GB2312"/>
          <w:snapToGrid/>
          <w:color w:val="000000"/>
          <w:kern w:val="21"/>
          <w:sz w:val="32"/>
          <w:szCs w:val="32"/>
          <w:lang w:val="en-US" w:eastAsia="zh-CN" w:bidi="ar"/>
        </w:rPr>
        <w:t>万元。</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按支出项目类别划分：基本支出</w:t>
      </w:r>
      <w:r>
        <w:rPr>
          <w:rFonts w:hint="eastAsia" w:ascii="Times New Roman" w:hAnsi="Times New Roman" w:eastAsia="仿宋_GB2312" w:cs="Times New Roman"/>
          <w:snapToGrid/>
          <w:color w:val="000000"/>
          <w:kern w:val="21"/>
          <w:sz w:val="32"/>
          <w:szCs w:val="32"/>
          <w:lang w:val="en-US" w:eastAsia="zh-CN" w:bidi="ar"/>
        </w:rPr>
        <w:t>1227.02</w:t>
      </w:r>
      <w:r>
        <w:rPr>
          <w:rFonts w:hint="default" w:ascii="仿宋_GB2312" w:hAnsi="Times New Roman" w:eastAsia="仿宋_GB2312" w:cs="仿宋_GB2312"/>
          <w:snapToGrid/>
          <w:color w:val="000000"/>
          <w:kern w:val="21"/>
          <w:sz w:val="32"/>
          <w:szCs w:val="32"/>
          <w:lang w:val="en-US" w:eastAsia="zh-CN" w:bidi="ar"/>
        </w:rPr>
        <w:t>万元，较上年增加</w:t>
      </w:r>
      <w:r>
        <w:rPr>
          <w:rFonts w:hint="eastAsia" w:ascii="Times New Roman" w:hAnsi="Times New Roman" w:eastAsia="仿宋_GB2312" w:cs="Times New Roman"/>
          <w:snapToGrid/>
          <w:color w:val="000000"/>
          <w:kern w:val="21"/>
          <w:sz w:val="32"/>
          <w:szCs w:val="32"/>
          <w:lang w:val="en-US" w:eastAsia="zh-CN" w:bidi="ar"/>
        </w:rPr>
        <w:t>161.97</w:t>
      </w:r>
      <w:r>
        <w:rPr>
          <w:rFonts w:hint="default" w:ascii="仿宋_GB2312" w:hAnsi="Times New Roman" w:eastAsia="仿宋_GB2312" w:cs="仿宋_GB2312"/>
          <w:snapToGrid/>
          <w:color w:val="000000"/>
          <w:kern w:val="21"/>
          <w:sz w:val="32"/>
          <w:szCs w:val="32"/>
          <w:lang w:val="en-US" w:eastAsia="zh-CN" w:bidi="ar"/>
        </w:rPr>
        <w:t>万元，增长</w:t>
      </w:r>
      <w:r>
        <w:rPr>
          <w:rFonts w:hint="eastAsia" w:ascii="Times New Roman" w:hAnsi="Times New Roman" w:eastAsia="仿宋_GB2312" w:cs="Times New Roman"/>
          <w:snapToGrid/>
          <w:color w:val="000000"/>
          <w:kern w:val="21"/>
          <w:sz w:val="32"/>
          <w:szCs w:val="32"/>
          <w:lang w:val="en-US" w:eastAsia="zh-CN" w:bidi="ar"/>
        </w:rPr>
        <w:t>15.21</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，主要原因是：人员经费增加。</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（四）政府性基金情况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39"/>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本单位没有使用政府性基金预算拨款安排的支出</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（五）国有资本经营情况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本单位没有使用国有资本经营预算拨款安排的支出</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（六）机关运行经费等重要情况说明</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仿宋_GB2312"/>
          <w:snapToGrid/>
          <w:color w:val="000000"/>
          <w:kern w:val="21"/>
          <w:sz w:val="32"/>
          <w:szCs w:val="32"/>
          <w:lang w:val="en-US" w:eastAsia="zh-CN" w:bidi="ar"/>
        </w:rPr>
      </w:pPr>
      <w:r>
        <w:rPr>
          <w:rFonts w:hint="eastAsia" w:ascii="仿宋_GB2312" w:hAnsi="Times New Roman" w:eastAsia="仿宋_GB2312" w:cs="仿宋_GB2312"/>
          <w:snapToGrid/>
          <w:color w:val="000000"/>
          <w:kern w:val="21"/>
          <w:sz w:val="32"/>
          <w:szCs w:val="32"/>
          <w:lang w:val="en-US" w:eastAsia="zh-CN" w:bidi="ar"/>
        </w:rPr>
        <w:t>2024年单位机关运行经费为：99.05万元，比上年预算增加19.27万元，增长24.15%，主要原因是人员经费及其他收入开支增加。</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（七）政府采购情况说明</w:t>
      </w:r>
    </w:p>
    <w:p>
      <w:pPr>
        <w:keepNext w:val="0"/>
        <w:keepLines w:val="0"/>
        <w:widowControl/>
        <w:suppressLineNumbers w:val="0"/>
        <w:kinsoku w:val="0"/>
        <w:autoSpaceDE w:val="0"/>
        <w:autoSpaceDN w:val="0"/>
        <w:adjustRightInd w:val="0"/>
        <w:snapToGrid w:val="0"/>
        <w:spacing w:before="0" w:beforeAutospacing="0" w:after="0" w:afterAutospacing="0" w:line="560" w:lineRule="exact"/>
        <w:ind w:left="0" w:right="0" w:firstLine="640" w:firstLineChars="200"/>
        <w:jc w:val="left"/>
        <w:textAlignment w:val="baseline"/>
        <w:rPr>
          <w:rFonts w:hint="default" w:ascii="Times New Roman" w:hAnsi="Times New Roman" w:eastAsia="仿宋_GB2312" w:cs="Arial"/>
          <w:color w:val="000000"/>
          <w:spacing w:val="10"/>
          <w:sz w:val="32"/>
          <w:szCs w:val="32"/>
        </w:rPr>
      </w:pPr>
      <w:r>
        <w:rPr>
          <w:rFonts w:hint="default" w:ascii="Times New Roman" w:hAnsi="Times New Roman" w:eastAsia="仿宋_GB2312" w:cs="Times New Roman"/>
          <w:snapToGrid w:val="0"/>
          <w:color w:val="000000"/>
          <w:kern w:val="21"/>
          <w:sz w:val="32"/>
          <w:szCs w:val="32"/>
          <w:lang w:val="en-US" w:eastAsia="zh-CN" w:bidi="ar"/>
        </w:rPr>
        <w:t>2024</w:t>
      </w:r>
      <w:r>
        <w:rPr>
          <w:rFonts w:hint="default" w:ascii="仿宋_GB2312" w:hAnsi="Times New Roman" w:eastAsia="仿宋_GB2312" w:cs="仿宋_GB2312"/>
          <w:snapToGrid w:val="0"/>
          <w:color w:val="000000"/>
          <w:kern w:val="21"/>
          <w:sz w:val="32"/>
          <w:szCs w:val="32"/>
          <w:lang w:val="en-US" w:eastAsia="zh-CN" w:bidi="ar"/>
        </w:rPr>
        <w:t>年</w:t>
      </w:r>
      <w:r>
        <w:rPr>
          <w:rFonts w:hint="eastAsia" w:ascii="仿宋_GB2312" w:hAnsi="Times New Roman" w:eastAsia="仿宋_GB2312" w:cs="仿宋_GB2312"/>
          <w:snapToGrid w:val="0"/>
          <w:color w:val="000000"/>
          <w:kern w:val="21"/>
          <w:sz w:val="32"/>
          <w:szCs w:val="32"/>
          <w:lang w:val="en-US" w:eastAsia="zh-CN" w:bidi="ar"/>
        </w:rPr>
        <w:t>新建区妇幼保健计划生育服务中心</w:t>
      </w:r>
      <w:r>
        <w:rPr>
          <w:rFonts w:hint="default" w:ascii="仿宋_GB2312" w:hAnsi="Times New Roman" w:eastAsia="仿宋_GB2312" w:cs="仿宋_GB2312"/>
          <w:snapToGrid w:val="0"/>
          <w:color w:val="000000"/>
          <w:kern w:val="21"/>
          <w:sz w:val="32"/>
          <w:szCs w:val="32"/>
          <w:lang w:val="en-US" w:eastAsia="zh-CN" w:bidi="ar"/>
        </w:rPr>
        <w:t>政府采购预算总额</w:t>
      </w:r>
      <w:r>
        <w:rPr>
          <w:rFonts w:hint="eastAsia" w:ascii="Times New Roman" w:hAnsi="Times New Roman" w:eastAsia="仿宋_GB2312" w:cs="Times New Roman"/>
          <w:snapToGrid w:val="0"/>
          <w:color w:val="000000"/>
          <w:kern w:val="21"/>
          <w:sz w:val="32"/>
          <w:szCs w:val="32"/>
          <w:lang w:val="en-US" w:eastAsia="zh-CN" w:bidi="ar"/>
        </w:rPr>
        <w:t>45</w:t>
      </w:r>
      <w:r>
        <w:rPr>
          <w:rFonts w:hint="default" w:ascii="仿宋_GB2312" w:hAnsi="Times New Roman" w:eastAsia="仿宋_GB2312" w:cs="仿宋_GB2312"/>
          <w:snapToGrid w:val="0"/>
          <w:color w:val="000000"/>
          <w:kern w:val="21"/>
          <w:sz w:val="32"/>
          <w:szCs w:val="32"/>
          <w:lang w:val="en-US" w:eastAsia="zh-CN" w:bidi="ar"/>
        </w:rPr>
        <w:t>万元。</w:t>
      </w:r>
      <w:r>
        <w:rPr>
          <w:rFonts w:hint="default" w:ascii="仿宋_GB2312" w:hAnsi="Times New Roman" w:eastAsia="仿宋_GB2312" w:cs="仿宋_GB2312"/>
          <w:snapToGrid w:val="0"/>
          <w:color w:val="000000"/>
          <w:spacing w:val="10"/>
          <w:kern w:val="0"/>
          <w:sz w:val="32"/>
          <w:szCs w:val="32"/>
          <w:lang w:val="en-US" w:eastAsia="zh-CN" w:bidi="ar"/>
        </w:rPr>
        <w:t>其中：政府采购医疗专用设备预算</w:t>
      </w:r>
      <w:r>
        <w:rPr>
          <w:rFonts w:hint="eastAsia" w:ascii="Times New Roman" w:hAnsi="Times New Roman" w:eastAsia="仿宋_GB2312" w:cs="Times New Roman"/>
          <w:snapToGrid w:val="0"/>
          <w:color w:val="000000"/>
          <w:spacing w:val="10"/>
          <w:kern w:val="0"/>
          <w:sz w:val="32"/>
          <w:szCs w:val="32"/>
          <w:lang w:val="en-US" w:eastAsia="zh-CN" w:bidi="ar"/>
        </w:rPr>
        <w:t>25</w:t>
      </w:r>
      <w:r>
        <w:rPr>
          <w:rFonts w:hint="default" w:ascii="仿宋_GB2312" w:hAnsi="Times New Roman" w:eastAsia="仿宋_GB2312" w:cs="仿宋_GB2312"/>
          <w:snapToGrid w:val="0"/>
          <w:color w:val="000000"/>
          <w:spacing w:val="10"/>
          <w:kern w:val="0"/>
          <w:sz w:val="32"/>
          <w:szCs w:val="32"/>
          <w:lang w:val="en-US" w:eastAsia="zh-CN" w:bidi="ar"/>
        </w:rPr>
        <w:t>万元、政府采购车辆预算</w:t>
      </w:r>
      <w:r>
        <w:rPr>
          <w:rFonts w:hint="default" w:ascii="Times New Roman" w:hAnsi="Times New Roman" w:eastAsia="仿宋_GB2312" w:cs="Times New Roman"/>
          <w:snapToGrid w:val="0"/>
          <w:color w:val="000000"/>
          <w:spacing w:val="10"/>
          <w:kern w:val="0"/>
          <w:sz w:val="32"/>
          <w:szCs w:val="32"/>
          <w:lang w:val="en-US" w:eastAsia="zh-CN" w:bidi="ar"/>
        </w:rPr>
        <w:t xml:space="preserve"> 0 </w:t>
      </w:r>
      <w:r>
        <w:rPr>
          <w:rFonts w:hint="default" w:ascii="仿宋_GB2312" w:hAnsi="Times New Roman" w:eastAsia="仿宋_GB2312" w:cs="仿宋_GB2312"/>
          <w:snapToGrid w:val="0"/>
          <w:color w:val="000000"/>
          <w:spacing w:val="10"/>
          <w:kern w:val="0"/>
          <w:sz w:val="32"/>
          <w:szCs w:val="32"/>
          <w:lang w:val="en-US" w:eastAsia="zh-CN" w:bidi="ar"/>
        </w:rPr>
        <w:t>万元、政府采购办公设备及其他</w:t>
      </w:r>
      <w:r>
        <w:rPr>
          <w:rFonts w:hint="eastAsia" w:ascii="Times New Roman" w:hAnsi="Times New Roman" w:eastAsia="仿宋_GB2312" w:cs="Times New Roman"/>
          <w:snapToGrid w:val="0"/>
          <w:color w:val="000000"/>
          <w:spacing w:val="10"/>
          <w:kern w:val="0"/>
          <w:sz w:val="32"/>
          <w:szCs w:val="32"/>
          <w:lang w:val="en-US" w:eastAsia="zh-CN" w:bidi="ar"/>
        </w:rPr>
        <w:t>20</w:t>
      </w:r>
      <w:r>
        <w:rPr>
          <w:rFonts w:hint="default" w:ascii="仿宋_GB2312" w:hAnsi="Times New Roman" w:eastAsia="仿宋_GB2312" w:cs="仿宋_GB2312"/>
          <w:snapToGrid w:val="0"/>
          <w:color w:val="000000"/>
          <w:spacing w:val="10"/>
          <w:kern w:val="0"/>
          <w:sz w:val="32"/>
          <w:szCs w:val="32"/>
          <w:lang w:val="en-US" w:eastAsia="zh-CN" w:bidi="ar"/>
        </w:rPr>
        <w:t>万元。</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（八）国有资产占有使用情况</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lang w:val="en-US"/>
        </w:rPr>
      </w:pPr>
      <w:r>
        <w:rPr>
          <w:rFonts w:hint="default" w:ascii="仿宋_GB2312" w:hAnsi="Times New Roman" w:eastAsia="仿宋_GB2312" w:cs="仿宋_GB2312"/>
          <w:snapToGrid/>
          <w:color w:val="000000"/>
          <w:kern w:val="21"/>
          <w:sz w:val="32"/>
          <w:szCs w:val="32"/>
          <w:lang w:val="en-US" w:eastAsia="zh-CN" w:bidi="ar"/>
        </w:rPr>
        <w:t>截至</w:t>
      </w:r>
      <w:r>
        <w:rPr>
          <w:rFonts w:hint="default" w:ascii="Times New Roman" w:hAnsi="Times New Roman" w:eastAsia="仿宋_GB2312" w:cs="Times New Roman"/>
          <w:snapToGrid/>
          <w:color w:val="000000"/>
          <w:kern w:val="21"/>
          <w:sz w:val="32"/>
          <w:szCs w:val="32"/>
          <w:lang w:val="en-US" w:eastAsia="zh-CN" w:bidi="ar"/>
        </w:rPr>
        <w:t>2023</w:t>
      </w:r>
      <w:r>
        <w:rPr>
          <w:rFonts w:hint="default" w:ascii="仿宋_GB2312" w:hAnsi="Times New Roman" w:eastAsia="仿宋_GB2312" w:cs="仿宋_GB2312"/>
          <w:snapToGrid/>
          <w:color w:val="000000"/>
          <w:kern w:val="21"/>
          <w:sz w:val="32"/>
          <w:szCs w:val="32"/>
          <w:lang w:val="en-US" w:eastAsia="zh-CN" w:bidi="ar"/>
        </w:rPr>
        <w:t>年</w:t>
      </w:r>
      <w:r>
        <w:rPr>
          <w:rFonts w:hint="default" w:ascii="Times New Roman" w:hAnsi="Times New Roman" w:eastAsia="仿宋_GB2312" w:cs="Times New Roman"/>
          <w:snapToGrid/>
          <w:color w:val="000000"/>
          <w:kern w:val="21"/>
          <w:sz w:val="32"/>
          <w:szCs w:val="32"/>
          <w:lang w:val="en-US" w:eastAsia="zh-CN" w:bidi="ar"/>
        </w:rPr>
        <w:t>12</w:t>
      </w:r>
      <w:r>
        <w:rPr>
          <w:rFonts w:hint="default" w:ascii="仿宋_GB2312" w:hAnsi="Times New Roman" w:eastAsia="仿宋_GB2312" w:cs="仿宋_GB2312"/>
          <w:snapToGrid/>
          <w:color w:val="000000"/>
          <w:kern w:val="21"/>
          <w:sz w:val="32"/>
          <w:szCs w:val="32"/>
          <w:lang w:val="en-US" w:eastAsia="zh-CN" w:bidi="ar"/>
        </w:rPr>
        <w:t>月</w:t>
      </w:r>
      <w:r>
        <w:rPr>
          <w:rFonts w:hint="default" w:ascii="Times New Roman" w:hAnsi="Times New Roman" w:eastAsia="仿宋_GB2312" w:cs="Times New Roman"/>
          <w:snapToGrid/>
          <w:color w:val="000000"/>
          <w:kern w:val="21"/>
          <w:sz w:val="32"/>
          <w:szCs w:val="32"/>
          <w:lang w:val="en-US" w:eastAsia="zh-CN" w:bidi="ar"/>
        </w:rPr>
        <w:t>31</w:t>
      </w:r>
      <w:r>
        <w:rPr>
          <w:rFonts w:hint="default" w:ascii="仿宋_GB2312" w:hAnsi="Times New Roman" w:eastAsia="仿宋_GB2312" w:cs="仿宋_GB2312"/>
          <w:snapToGrid/>
          <w:color w:val="000000"/>
          <w:kern w:val="21"/>
          <w:sz w:val="32"/>
          <w:szCs w:val="32"/>
          <w:lang w:val="en-US" w:eastAsia="zh-CN" w:bidi="ar"/>
        </w:rPr>
        <w:t>日，单位共有车辆</w:t>
      </w:r>
      <w:r>
        <w:rPr>
          <w:rFonts w:hint="eastAsia" w:ascii="Times New Roman" w:hAnsi="Times New Roman" w:eastAsia="仿宋_GB2312" w:cs="Times New Roman"/>
          <w:snapToGrid/>
          <w:color w:val="000000"/>
          <w:kern w:val="21"/>
          <w:sz w:val="32"/>
          <w:szCs w:val="32"/>
          <w:lang w:val="en-US" w:eastAsia="zh-CN" w:bidi="ar"/>
        </w:rPr>
        <w:t>2</w:t>
      </w:r>
      <w:r>
        <w:rPr>
          <w:rFonts w:hint="default" w:ascii="仿宋_GB2312" w:hAnsi="Times New Roman" w:eastAsia="仿宋_GB2312" w:cs="仿宋_GB2312"/>
          <w:snapToGrid/>
          <w:color w:val="000000"/>
          <w:kern w:val="21"/>
          <w:sz w:val="32"/>
          <w:szCs w:val="32"/>
          <w:lang w:val="en-US" w:eastAsia="zh-CN" w:bidi="ar"/>
        </w:rPr>
        <w:t>辆，其中，一般公务用车实有数</w:t>
      </w:r>
      <w:r>
        <w:rPr>
          <w:rFonts w:hint="default" w:ascii="Times New Roman" w:hAnsi="Times New Roman" w:eastAsia="仿宋_GB2312" w:cs="Times New Roman"/>
          <w:snapToGrid/>
          <w:color w:val="000000"/>
          <w:kern w:val="21"/>
          <w:sz w:val="32"/>
          <w:szCs w:val="32"/>
          <w:lang w:val="en-US" w:eastAsia="zh-CN" w:bidi="ar"/>
        </w:rPr>
        <w:t>0</w:t>
      </w:r>
      <w:r>
        <w:rPr>
          <w:rFonts w:hint="default" w:ascii="仿宋_GB2312" w:hAnsi="Times New Roman" w:eastAsia="仿宋_GB2312" w:cs="仿宋_GB2312"/>
          <w:snapToGrid/>
          <w:color w:val="000000"/>
          <w:kern w:val="21"/>
          <w:sz w:val="32"/>
          <w:szCs w:val="32"/>
          <w:lang w:val="en-US" w:eastAsia="zh-CN" w:bidi="ar"/>
        </w:rPr>
        <w:t>辆。</w:t>
      </w:r>
      <w:r>
        <w:rPr>
          <w:rFonts w:hint="default" w:ascii="Times New Roman" w:hAnsi="Times New Roman" w:eastAsia="仿宋_GB2312" w:cs="Times New Roman"/>
          <w:snapToGrid/>
          <w:color w:val="000000"/>
          <w:kern w:val="21"/>
          <w:sz w:val="32"/>
          <w:szCs w:val="32"/>
          <w:lang w:val="en-US" w:eastAsia="zh-CN" w:bidi="ar"/>
        </w:rPr>
        <w:t>2024</w:t>
      </w:r>
      <w:r>
        <w:rPr>
          <w:rFonts w:hint="default" w:ascii="仿宋_GB2312" w:hAnsi="Times New Roman" w:eastAsia="仿宋_GB2312" w:cs="仿宋_GB2312"/>
          <w:snapToGrid/>
          <w:color w:val="000000"/>
          <w:kern w:val="21"/>
          <w:sz w:val="32"/>
          <w:szCs w:val="32"/>
          <w:lang w:val="en-US" w:eastAsia="zh-CN" w:bidi="ar"/>
        </w:rPr>
        <w:t>年单位预算安排购置车辆</w:t>
      </w:r>
      <w:r>
        <w:rPr>
          <w:rFonts w:hint="default" w:ascii="Times New Roman" w:hAnsi="Times New Roman" w:eastAsia="仿宋_GB2312" w:cs="Times New Roman"/>
          <w:snapToGrid/>
          <w:color w:val="000000"/>
          <w:kern w:val="21"/>
          <w:sz w:val="32"/>
          <w:szCs w:val="32"/>
          <w:lang w:val="en-US" w:eastAsia="zh-CN" w:bidi="ar"/>
        </w:rPr>
        <w:t>0</w:t>
      </w:r>
      <w:r>
        <w:rPr>
          <w:rFonts w:hint="default" w:ascii="仿宋_GB2312" w:hAnsi="Times New Roman" w:eastAsia="仿宋_GB2312" w:cs="仿宋_GB2312"/>
          <w:snapToGrid/>
          <w:color w:val="000000"/>
          <w:kern w:val="21"/>
          <w:sz w:val="32"/>
          <w:szCs w:val="32"/>
          <w:lang w:val="en-US" w:eastAsia="zh-CN" w:bidi="ar"/>
        </w:rPr>
        <w:t>辆，单位共有车辆</w:t>
      </w:r>
      <w:r>
        <w:rPr>
          <w:rFonts w:hint="eastAsia" w:ascii="Times New Roman" w:hAnsi="Times New Roman" w:eastAsia="仿宋_GB2312" w:cs="Times New Roman"/>
          <w:snapToGrid/>
          <w:color w:val="000000"/>
          <w:kern w:val="21"/>
          <w:sz w:val="32"/>
          <w:szCs w:val="32"/>
          <w:lang w:val="en-US" w:eastAsia="zh-CN" w:bidi="ar"/>
        </w:rPr>
        <w:t>2台。</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楷体_GB2312" w:eastAsia="楷体_GB2312" w:cs="楷体_GB2312"/>
          <w:color w:val="000000"/>
          <w:kern w:val="21"/>
          <w:sz w:val="32"/>
          <w:szCs w:val="32"/>
        </w:rPr>
      </w:pPr>
      <w:r>
        <w:rPr>
          <w:rFonts w:hint="default" w:ascii="楷体_GB2312" w:hAnsi="Arial" w:eastAsia="楷体_GB2312" w:cs="楷体_GB2312"/>
          <w:snapToGrid w:val="0"/>
          <w:color w:val="000000"/>
          <w:kern w:val="21"/>
          <w:sz w:val="32"/>
          <w:szCs w:val="32"/>
          <w:lang w:val="en-US" w:eastAsia="zh-CN" w:bidi="ar"/>
        </w:rPr>
        <w:t>（九）项目情况说明</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firstLine="680" w:firstLineChars="2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1、妇幼保健项目</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firstLine="680" w:firstLineChars="2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1）项目概述：以贯彻实施《母婴保健法》为核心，开拓进取，加大了工作力度;以提高出生人口素质、保障生殖健康为重点;以为儿童妇女健康服务为宗旨，优化服务模式，提高了我区妇幼保健的服务能力，</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leftChars="-200" w:firstLine="1020" w:firstLineChars="3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2）实施主体：妇女、儿童</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leftChars="-200" w:firstLine="1020" w:firstLineChars="3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3）实施周期：2024年</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leftChars="-200" w:firstLine="1020" w:firstLineChars="3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4）年度预算安排：50万元</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leftChars="-200" w:firstLine="1020" w:firstLineChars="3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5）绩效目标和指标：</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ind w:leftChars="-2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 xml:space="preserve">    数量指标：农村两癌4466人次，2023年开展免费婚检对数3815.5对。</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质量指标：早检查早预防100%</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时效指标：项目完成时间 2024年12月30日前</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default"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成本指标：婚前检查成本</w:t>
      </w:r>
      <w:r>
        <w:rPr>
          <w:rFonts w:hint="default" w:ascii="Arial" w:hAnsi="Arial" w:eastAsia="仿宋_GB2312" w:cs="Arial"/>
          <w:color w:val="auto"/>
          <w:spacing w:val="10"/>
          <w:kern w:val="2"/>
          <w:sz w:val="32"/>
          <w:szCs w:val="32"/>
          <w:lang w:val="en-US" w:eastAsia="zh-CN" w:bidi="ar-SA"/>
        </w:rPr>
        <w:t>≤</w:t>
      </w:r>
      <w:r>
        <w:rPr>
          <w:rFonts w:hint="eastAsia" w:ascii="Times New Roman" w:hAnsi="Times New Roman" w:eastAsia="仿宋_GB2312" w:cs="仿宋_GB2312"/>
          <w:color w:val="auto"/>
          <w:spacing w:val="10"/>
          <w:kern w:val="2"/>
          <w:sz w:val="32"/>
          <w:szCs w:val="32"/>
          <w:lang w:val="en-US" w:eastAsia="zh-CN" w:bidi="ar-SA"/>
        </w:rPr>
        <w:t>150元/对，两癌人均经费130元/对</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社会效益：降低出生缺陷发生情况100%</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default"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可持续影响：降低出生缺陷发生情况，提高全区人口素质＝98%。</w:t>
      </w:r>
    </w:p>
    <w:p>
      <w:pPr>
        <w:pStyle w:val="2"/>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满意度指标：检查对象满意度≥98%</w:t>
      </w:r>
    </w:p>
    <w:p>
      <w:pPr>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outlineLvl w:val="1"/>
        <w:rPr>
          <w:rFonts w:hint="eastAsia" w:ascii="黑体" w:hAnsi="宋体" w:eastAsia="黑体" w:cs="黑体"/>
          <w:color w:val="000000"/>
          <w:kern w:val="21"/>
          <w:sz w:val="32"/>
          <w:szCs w:val="32"/>
        </w:rPr>
      </w:pPr>
      <w:r>
        <w:rPr>
          <w:rFonts w:hint="eastAsia" w:ascii="黑体" w:hAnsi="宋体" w:eastAsia="黑体" w:cs="黑体"/>
          <w:snapToGrid w:val="0"/>
          <w:color w:val="000000"/>
          <w:kern w:val="21"/>
          <w:sz w:val="32"/>
          <w:szCs w:val="32"/>
          <w:lang w:val="en-US" w:eastAsia="zh-CN" w:bidi="ar"/>
        </w:rPr>
        <w:t>二、2024年“三公”经费预算情况说明</w:t>
      </w:r>
    </w:p>
    <w:p>
      <w:pPr>
        <w:pStyle w:val="7"/>
        <w:keepNext w:val="0"/>
        <w:keepLines w:val="0"/>
        <w:widowControl w:val="0"/>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default" w:ascii="Times New Roman" w:hAnsi="Times New Roman" w:eastAsia="仿宋_GB2312" w:cs="Times New Roman"/>
          <w:snapToGrid/>
          <w:color w:val="000000"/>
          <w:kern w:val="21"/>
          <w:sz w:val="32"/>
          <w:szCs w:val="32"/>
          <w:lang w:val="en-US" w:eastAsia="zh-CN" w:bidi="ar"/>
        </w:rPr>
        <w:t>2024</w:t>
      </w:r>
      <w:r>
        <w:rPr>
          <w:rFonts w:hint="default" w:ascii="仿宋_GB2312" w:hAnsi="Times New Roman" w:eastAsia="仿宋_GB2312" w:cs="仿宋_GB2312"/>
          <w:snapToGrid/>
          <w:color w:val="000000"/>
          <w:kern w:val="21"/>
          <w:sz w:val="32"/>
          <w:szCs w:val="32"/>
          <w:lang w:val="en-US" w:eastAsia="zh-CN" w:bidi="ar"/>
        </w:rPr>
        <w:t>年</w:t>
      </w:r>
      <w:r>
        <w:rPr>
          <w:rFonts w:hint="eastAsia" w:ascii="仿宋_GB2312" w:hAnsi="Times New Roman" w:eastAsia="仿宋_GB2312" w:cs="仿宋_GB2312"/>
          <w:snapToGrid/>
          <w:color w:val="000000"/>
          <w:kern w:val="21"/>
          <w:sz w:val="32"/>
          <w:szCs w:val="32"/>
          <w:lang w:val="en-US" w:eastAsia="zh-CN" w:bidi="ar"/>
        </w:rPr>
        <w:t>新建区妇幼保健计划生育服务中心</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三公</w:t>
      </w:r>
      <w:r>
        <w:rPr>
          <w:rFonts w:hint="default" w:ascii="Times New Roman" w:hAnsi="Times New Roman" w:eastAsia="仿宋_GB2312" w:cs="Times New Roman"/>
          <w:snapToGrid/>
          <w:color w:val="000000"/>
          <w:kern w:val="21"/>
          <w:sz w:val="32"/>
          <w:szCs w:val="32"/>
          <w:lang w:val="en-US" w:eastAsia="zh-CN" w:bidi="ar"/>
        </w:rPr>
        <w:t>”</w:t>
      </w:r>
      <w:r>
        <w:rPr>
          <w:rFonts w:hint="default" w:ascii="仿宋_GB2312" w:hAnsi="Times New Roman" w:eastAsia="仿宋_GB2312" w:cs="仿宋_GB2312"/>
          <w:snapToGrid/>
          <w:color w:val="000000"/>
          <w:kern w:val="21"/>
          <w:sz w:val="32"/>
          <w:szCs w:val="32"/>
          <w:lang w:val="en-US" w:eastAsia="zh-CN" w:bidi="ar"/>
        </w:rPr>
        <w:t>经费财政拨款安排</w:t>
      </w:r>
      <w:r>
        <w:rPr>
          <w:rFonts w:hint="eastAsia" w:ascii="Times New Roman" w:hAnsi="Times New Roman" w:eastAsia="仿宋_GB2312" w:cs="Times New Roman"/>
          <w:snapToGrid/>
          <w:color w:val="000000"/>
          <w:kern w:val="21"/>
          <w:sz w:val="32"/>
          <w:szCs w:val="32"/>
          <w:lang w:val="en-US" w:eastAsia="zh-CN" w:bidi="ar"/>
        </w:rPr>
        <w:t>17</w:t>
      </w:r>
      <w:r>
        <w:rPr>
          <w:rFonts w:hint="default" w:ascii="仿宋_GB2312" w:hAnsi="Times New Roman" w:eastAsia="仿宋_GB2312" w:cs="仿宋_GB2312"/>
          <w:snapToGrid/>
          <w:color w:val="000000"/>
          <w:kern w:val="21"/>
          <w:sz w:val="32"/>
          <w:szCs w:val="32"/>
          <w:lang w:val="en-US" w:eastAsia="zh-CN" w:bidi="ar"/>
        </w:rPr>
        <w:t>万元。其中：</w:t>
      </w:r>
    </w:p>
    <w:p>
      <w:pPr>
        <w:pStyle w:val="7"/>
        <w:keepNext w:val="0"/>
        <w:keepLines w:val="0"/>
        <w:widowControl w:val="0"/>
        <w:numPr>
          <w:ilvl w:val="0"/>
          <w:numId w:val="2"/>
        </w:numPr>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eastAsia" w:ascii="Times New Roman" w:hAnsi="Times New Roman" w:eastAsia="仿宋_GB2312" w:cs="Times New Roman"/>
          <w:color w:val="000000"/>
          <w:kern w:val="21"/>
          <w:sz w:val="32"/>
          <w:szCs w:val="32"/>
          <w:lang w:eastAsia="zh-CN"/>
        </w:rPr>
        <w:t>因公出国（境）经费</w:t>
      </w:r>
      <w:r>
        <w:rPr>
          <w:rFonts w:hint="eastAsia" w:ascii="Times New Roman" w:hAnsi="Times New Roman" w:eastAsia="仿宋_GB2312" w:cs="Times New Roman"/>
          <w:color w:val="000000"/>
          <w:kern w:val="21"/>
          <w:sz w:val="32"/>
          <w:szCs w:val="32"/>
          <w:lang w:val="en-US" w:eastAsia="zh-CN"/>
        </w:rPr>
        <w:t>0万元，比上年增加/减少0万元。主要原因是未安排。</w:t>
      </w:r>
    </w:p>
    <w:p>
      <w:pPr>
        <w:pStyle w:val="7"/>
        <w:keepNext w:val="0"/>
        <w:keepLines w:val="0"/>
        <w:widowControl w:val="0"/>
        <w:numPr>
          <w:ilvl w:val="0"/>
          <w:numId w:val="2"/>
        </w:numPr>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公务接待费</w:t>
      </w:r>
      <w:r>
        <w:rPr>
          <w:rFonts w:hint="eastAsia" w:ascii="Times New Roman" w:hAnsi="Times New Roman" w:eastAsia="仿宋_GB2312" w:cs="Times New Roman"/>
          <w:snapToGrid/>
          <w:color w:val="000000"/>
          <w:kern w:val="21"/>
          <w:sz w:val="32"/>
          <w:szCs w:val="32"/>
          <w:lang w:val="en-US" w:eastAsia="zh-CN" w:bidi="ar"/>
        </w:rPr>
        <w:t>5</w:t>
      </w:r>
      <w:r>
        <w:rPr>
          <w:rFonts w:hint="default" w:ascii="仿宋_GB2312" w:hAnsi="Times New Roman" w:eastAsia="仿宋_GB2312" w:cs="仿宋_GB2312"/>
          <w:snapToGrid/>
          <w:color w:val="000000"/>
          <w:kern w:val="21"/>
          <w:sz w:val="32"/>
          <w:szCs w:val="32"/>
          <w:lang w:val="en-US" w:eastAsia="zh-CN" w:bidi="ar"/>
        </w:rPr>
        <w:t>万元，</w:t>
      </w:r>
      <w:r>
        <w:rPr>
          <w:rFonts w:hint="eastAsia" w:ascii="仿宋_GB2312" w:hAnsi="Times New Roman" w:eastAsia="仿宋_GB2312" w:cs="仿宋_GB2312"/>
          <w:snapToGrid/>
          <w:color w:val="000000"/>
          <w:kern w:val="21"/>
          <w:sz w:val="32"/>
          <w:szCs w:val="32"/>
          <w:lang w:val="en-US" w:eastAsia="zh-CN" w:bidi="ar"/>
        </w:rPr>
        <w:t>与上年无增加/减少。</w:t>
      </w:r>
    </w:p>
    <w:p>
      <w:pPr>
        <w:pStyle w:val="7"/>
        <w:keepNext w:val="0"/>
        <w:keepLines w:val="0"/>
        <w:widowControl w:val="0"/>
        <w:numPr>
          <w:ilvl w:val="0"/>
          <w:numId w:val="2"/>
        </w:numPr>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default" w:ascii="仿宋_GB2312" w:hAnsi="Times New Roman" w:eastAsia="仿宋_GB2312" w:cs="仿宋_GB2312"/>
          <w:snapToGrid/>
          <w:color w:val="000000"/>
          <w:kern w:val="21"/>
          <w:sz w:val="32"/>
          <w:szCs w:val="32"/>
          <w:lang w:val="en-US" w:eastAsia="zh-CN" w:bidi="ar"/>
        </w:rPr>
        <w:t>公务用车运行维护费</w:t>
      </w:r>
      <w:r>
        <w:rPr>
          <w:rFonts w:hint="eastAsia" w:ascii="Times New Roman" w:hAnsi="Times New Roman" w:eastAsia="仿宋_GB2312" w:cs="Times New Roman"/>
          <w:snapToGrid/>
          <w:color w:val="000000"/>
          <w:kern w:val="21"/>
          <w:sz w:val="32"/>
          <w:szCs w:val="32"/>
          <w:lang w:val="en-US" w:eastAsia="zh-CN" w:bidi="ar"/>
        </w:rPr>
        <w:t>12</w:t>
      </w:r>
      <w:r>
        <w:rPr>
          <w:rFonts w:hint="default" w:ascii="仿宋_GB2312" w:hAnsi="Times New Roman" w:eastAsia="仿宋_GB2312" w:cs="仿宋_GB2312"/>
          <w:snapToGrid/>
          <w:color w:val="000000"/>
          <w:kern w:val="21"/>
          <w:sz w:val="32"/>
          <w:szCs w:val="32"/>
          <w:lang w:val="en-US" w:eastAsia="zh-CN" w:bidi="ar"/>
        </w:rPr>
        <w:t>万元，比上年</w:t>
      </w:r>
      <w:r>
        <w:rPr>
          <w:rFonts w:hint="eastAsia" w:ascii="仿宋_GB2312" w:hAnsi="Times New Roman" w:eastAsia="仿宋_GB2312" w:cs="仿宋_GB2312"/>
          <w:snapToGrid/>
          <w:color w:val="000000"/>
          <w:kern w:val="21"/>
          <w:sz w:val="32"/>
          <w:szCs w:val="32"/>
          <w:lang w:val="en-US" w:eastAsia="zh-CN" w:bidi="ar"/>
        </w:rPr>
        <w:t>减少</w:t>
      </w:r>
      <w:r>
        <w:rPr>
          <w:rFonts w:hint="eastAsia" w:ascii="Times New Roman" w:hAnsi="Times New Roman" w:eastAsia="仿宋_GB2312" w:cs="Times New Roman"/>
          <w:snapToGrid/>
          <w:color w:val="000000"/>
          <w:kern w:val="21"/>
          <w:sz w:val="32"/>
          <w:szCs w:val="32"/>
          <w:lang w:val="en-US" w:eastAsia="zh-CN" w:bidi="ar"/>
        </w:rPr>
        <w:t>3</w:t>
      </w:r>
      <w:r>
        <w:rPr>
          <w:rFonts w:hint="default" w:ascii="仿宋_GB2312" w:hAnsi="Times New Roman" w:eastAsia="仿宋_GB2312" w:cs="仿宋_GB2312"/>
          <w:snapToGrid/>
          <w:color w:val="000000"/>
          <w:kern w:val="21"/>
          <w:sz w:val="32"/>
          <w:szCs w:val="32"/>
          <w:lang w:val="en-US" w:eastAsia="zh-CN" w:bidi="ar"/>
        </w:rPr>
        <w:t>万元。主要原因是：</w:t>
      </w:r>
      <w:r>
        <w:rPr>
          <w:rFonts w:hint="eastAsia" w:ascii="仿宋_GB2312" w:hAnsi="Times New Roman" w:eastAsia="仿宋_GB2312" w:cs="仿宋_GB2312"/>
          <w:snapToGrid/>
          <w:color w:val="000000"/>
          <w:kern w:val="21"/>
          <w:sz w:val="32"/>
          <w:szCs w:val="32"/>
          <w:lang w:val="en-US" w:eastAsia="zh-CN" w:bidi="ar"/>
        </w:rPr>
        <w:t>公务用车费用较上年减少。</w:t>
      </w:r>
    </w:p>
    <w:p>
      <w:pPr>
        <w:pStyle w:val="7"/>
        <w:keepNext w:val="0"/>
        <w:keepLines w:val="0"/>
        <w:widowControl w:val="0"/>
        <w:numPr>
          <w:ilvl w:val="0"/>
          <w:numId w:val="2"/>
        </w:numPr>
        <w:suppressLineNumbers w:val="0"/>
        <w:kinsoku w:val="0"/>
        <w:overflowPunct w:val="0"/>
        <w:topLinePunct/>
        <w:autoSpaceDE w:val="0"/>
        <w:autoSpaceDN/>
        <w:adjustRightInd w:val="0"/>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color w:val="000000"/>
          <w:kern w:val="21"/>
          <w:sz w:val="32"/>
          <w:szCs w:val="32"/>
        </w:rPr>
      </w:pPr>
      <w:r>
        <w:rPr>
          <w:rFonts w:hint="eastAsia" w:ascii="Times New Roman" w:hAnsi="Times New Roman" w:eastAsia="仿宋_GB2312" w:cs="Times New Roman"/>
          <w:color w:val="000000"/>
          <w:kern w:val="21"/>
          <w:sz w:val="32"/>
          <w:szCs w:val="32"/>
          <w:lang w:eastAsia="zh-CN"/>
        </w:rPr>
        <w:t>公务用车购置费</w:t>
      </w:r>
      <w:r>
        <w:rPr>
          <w:rFonts w:hint="eastAsia" w:ascii="Times New Roman" w:hAnsi="Times New Roman" w:eastAsia="仿宋_GB2312" w:cs="Times New Roman"/>
          <w:color w:val="000000"/>
          <w:kern w:val="21"/>
          <w:sz w:val="32"/>
          <w:szCs w:val="32"/>
          <w:lang w:val="en-US" w:eastAsia="zh-CN"/>
        </w:rPr>
        <w:t>0万元，比上年增加/减少0万元，主要原因是无安排。</w:t>
      </w:r>
    </w:p>
    <w:p>
      <w:pPr>
        <w:pStyle w:val="2"/>
        <w:rPr>
          <w:lang w:eastAsia="zh-CN"/>
        </w:rPr>
      </w:pPr>
    </w:p>
    <w:p>
      <w:pPr>
        <w:widowControl w:val="0"/>
        <w:kinsoku/>
        <w:overflowPunct w:val="0"/>
        <w:topLinePunct/>
        <w:autoSpaceDE/>
        <w:autoSpaceDN/>
        <w:spacing w:line="560" w:lineRule="exact"/>
        <w:jc w:val="center"/>
        <w:rPr>
          <w:rFonts w:ascii="黑体" w:hAnsi="黑体" w:eastAsia="黑体" w:cs="黑体"/>
          <w:snapToGrid/>
          <w:kern w:val="21"/>
          <w:sz w:val="32"/>
          <w:szCs w:val="32"/>
          <w:lang w:eastAsia="zh-CN"/>
        </w:rPr>
      </w:pPr>
      <w:r>
        <w:rPr>
          <w:rFonts w:hint="eastAsia" w:ascii="黑体" w:hAnsi="黑体" w:eastAsia="黑体" w:cs="黑体"/>
          <w:b/>
          <w:bCs/>
          <w:snapToGrid/>
          <w:kern w:val="21"/>
          <w:sz w:val="32"/>
          <w:szCs w:val="32"/>
          <w:lang w:eastAsia="zh-CN"/>
        </w:rPr>
        <w:t>第四部分 名词解释</w:t>
      </w:r>
    </w:p>
    <w:p>
      <w:pPr>
        <w:widowControl w:val="0"/>
        <w:kinsoku/>
        <w:overflowPunct w:val="0"/>
        <w:topLinePunct/>
        <w:autoSpaceDE/>
        <w:autoSpaceDN/>
        <w:spacing w:line="560" w:lineRule="exact"/>
        <w:jc w:val="both"/>
        <w:rPr>
          <w:rFonts w:ascii="黑体" w:hAnsi="黑体" w:eastAsia="黑体" w:cs="黑体"/>
          <w:snapToGrid/>
          <w:kern w:val="21"/>
          <w:sz w:val="32"/>
          <w:szCs w:val="32"/>
          <w:lang w:eastAsia="zh-CN"/>
        </w:rPr>
      </w:pPr>
    </w:p>
    <w:p>
      <w:pPr>
        <w:widowControl w:val="0"/>
        <w:kinsoku/>
        <w:overflowPunct w:val="0"/>
        <w:topLinePunct/>
        <w:autoSpaceDE/>
        <w:autoSpaceDN/>
        <w:spacing w:line="560" w:lineRule="exact"/>
        <w:ind w:firstLine="640" w:firstLineChars="200"/>
        <w:jc w:val="both"/>
        <w:outlineLvl w:val="1"/>
        <w:rPr>
          <w:rFonts w:ascii="黑体" w:hAnsi="黑体" w:eastAsia="黑体" w:cs="黑体"/>
          <w:snapToGrid/>
          <w:kern w:val="21"/>
          <w:sz w:val="32"/>
          <w:szCs w:val="32"/>
          <w:lang w:eastAsia="zh-CN"/>
        </w:rPr>
      </w:pPr>
      <w:r>
        <w:rPr>
          <w:rFonts w:hint="eastAsia" w:ascii="黑体" w:hAnsi="黑体" w:eastAsia="黑体" w:cs="黑体"/>
          <w:snapToGrid/>
          <w:kern w:val="21"/>
          <w:sz w:val="32"/>
          <w:szCs w:val="32"/>
          <w:lang w:eastAsia="zh-CN"/>
        </w:rPr>
        <w:t>一、收入科目</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（一）财政拨款：</w:t>
      </w:r>
      <w:r>
        <w:rPr>
          <w:rFonts w:ascii="Times New Roman" w:hAnsi="Times New Roman" w:eastAsia="仿宋_GB2312" w:cs="Times New Roman"/>
          <w:snapToGrid/>
          <w:kern w:val="21"/>
          <w:sz w:val="32"/>
          <w:szCs w:val="32"/>
          <w:lang w:eastAsia="zh-CN"/>
        </w:rPr>
        <w:t>指区级财政当年拨付的资金。</w:t>
      </w:r>
    </w:p>
    <w:p>
      <w:pPr>
        <w:pStyle w:val="3"/>
        <w:widowControl w:val="0"/>
        <w:kinsoku/>
        <w:overflowPunct w:val="0"/>
        <w:topLinePunct/>
        <w:autoSpaceDE/>
        <w:autoSpaceDN/>
        <w:spacing w:line="560" w:lineRule="exact"/>
        <w:ind w:firstLine="679"/>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（二）教育收费资金收入：</w:t>
      </w:r>
      <w:r>
        <w:rPr>
          <w:rFonts w:ascii="Times New Roman" w:hAnsi="Times New Roman" w:eastAsia="仿宋_GB2312" w:cs="Times New Roman"/>
          <w:snapToGrid/>
          <w:kern w:val="21"/>
          <w:sz w:val="32"/>
          <w:szCs w:val="32"/>
          <w:lang w:eastAsia="zh-CN"/>
        </w:rPr>
        <w:t>指实行专项管理的高中以上学费、住宿费，高校委托培养费，函大、电大、夜大及短训班培训费等教育收费取得的收入。</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（三）事业收入：</w:t>
      </w:r>
      <w:r>
        <w:rPr>
          <w:rFonts w:ascii="Times New Roman" w:hAnsi="Times New Roman" w:eastAsia="仿宋_GB2312" w:cs="Times New Roman"/>
          <w:snapToGrid/>
          <w:kern w:val="21"/>
          <w:sz w:val="32"/>
          <w:szCs w:val="32"/>
          <w:lang w:eastAsia="zh-CN"/>
        </w:rPr>
        <w:t>指事业单位开展专业业务活动及辅助活动取得的收入。</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（四）事业单位经营收入：</w:t>
      </w:r>
      <w:r>
        <w:rPr>
          <w:rFonts w:ascii="Times New Roman" w:hAnsi="Times New Roman" w:eastAsia="仿宋_GB2312" w:cs="Times New Roman"/>
          <w:snapToGrid/>
          <w:kern w:val="21"/>
          <w:sz w:val="32"/>
          <w:szCs w:val="32"/>
          <w:lang w:eastAsia="zh-CN"/>
        </w:rPr>
        <w:t>指事业单位在专业业务活动及辅助活动之外开展非独立核算经营活动取得的收入。</w:t>
      </w:r>
    </w:p>
    <w:p>
      <w:pPr>
        <w:pStyle w:val="3"/>
        <w:widowControl w:val="0"/>
        <w:kinsoku/>
        <w:overflowPunct w:val="0"/>
        <w:topLinePunct/>
        <w:autoSpaceDE/>
        <w:autoSpaceDN/>
        <w:spacing w:line="560" w:lineRule="exact"/>
        <w:ind w:firstLine="679"/>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（五）附属单位上缴收入：</w:t>
      </w:r>
      <w:r>
        <w:rPr>
          <w:rFonts w:ascii="Times New Roman" w:hAnsi="Times New Roman" w:eastAsia="仿宋_GB2312" w:cs="Times New Roman"/>
          <w:snapToGrid/>
          <w:kern w:val="21"/>
          <w:sz w:val="32"/>
          <w:szCs w:val="32"/>
          <w:lang w:eastAsia="zh-CN"/>
        </w:rPr>
        <w:t>指事业单位附属的独立核算单位按规定标准或比例缴纳的各项收入。包括附属的事业单位上缴的收入和附属的企业上缴的利润等。</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（六）上级补助收入：</w:t>
      </w:r>
      <w:r>
        <w:rPr>
          <w:rFonts w:ascii="Times New Roman" w:hAnsi="Times New Roman" w:eastAsia="仿宋_GB2312" w:cs="Times New Roman"/>
          <w:snapToGrid/>
          <w:kern w:val="21"/>
          <w:sz w:val="32"/>
          <w:szCs w:val="32"/>
          <w:lang w:eastAsia="zh-CN"/>
        </w:rPr>
        <w:t>指事业单位从主管部门和上级单位取得的非财政补助收入。</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（七）其他收入：</w:t>
      </w:r>
      <w:r>
        <w:rPr>
          <w:rFonts w:ascii="Times New Roman" w:hAnsi="Times New Roman" w:eastAsia="仿宋_GB2312" w:cs="Times New Roman"/>
          <w:snapToGrid/>
          <w:kern w:val="21"/>
          <w:sz w:val="32"/>
          <w:szCs w:val="32"/>
          <w:lang w:eastAsia="zh-CN"/>
        </w:rPr>
        <w:t>指除财政拨款、事业收入、事业单位经营收入等以外的各项收入。</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（八）使用非财政拨款结余：</w:t>
      </w:r>
      <w:r>
        <w:rPr>
          <w:rFonts w:ascii="Times New Roman" w:hAnsi="Times New Roman" w:eastAsia="仿宋_GB2312" w:cs="Times New Roman"/>
          <w:snapToGrid/>
          <w:kern w:val="21"/>
          <w:sz w:val="32"/>
          <w:szCs w:val="32"/>
          <w:lang w:eastAsia="zh-CN"/>
        </w:rPr>
        <w:t>指历年滚存非限定用途的非财政拨款结余弥补本年度收支差额的数额。</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（九）上年结转结余：</w:t>
      </w:r>
      <w:r>
        <w:rPr>
          <w:rFonts w:ascii="Times New Roman" w:hAnsi="Times New Roman" w:eastAsia="仿宋_GB2312" w:cs="Times New Roman"/>
          <w:snapToGrid/>
          <w:kern w:val="21"/>
          <w:sz w:val="32"/>
          <w:szCs w:val="32"/>
          <w:lang w:eastAsia="zh-CN"/>
        </w:rPr>
        <w:t>指以前年度全部结转和结余的资金数，包括当年结转结余资金和历年滚存结转结余资金。</w:t>
      </w:r>
    </w:p>
    <w:p>
      <w:pPr>
        <w:widowControl w:val="0"/>
        <w:kinsoku/>
        <w:overflowPunct w:val="0"/>
        <w:topLinePunct/>
        <w:autoSpaceDE/>
        <w:autoSpaceDN/>
        <w:spacing w:line="560" w:lineRule="exact"/>
        <w:ind w:firstLine="640" w:firstLineChars="200"/>
        <w:jc w:val="both"/>
        <w:outlineLvl w:val="1"/>
        <w:rPr>
          <w:rFonts w:ascii="黑体" w:hAnsi="黑体" w:eastAsia="黑体" w:cs="黑体"/>
          <w:snapToGrid/>
          <w:kern w:val="21"/>
          <w:sz w:val="32"/>
          <w:szCs w:val="32"/>
          <w:lang w:eastAsia="zh-CN"/>
        </w:rPr>
      </w:pPr>
      <w:r>
        <w:rPr>
          <w:rFonts w:hint="eastAsia" w:ascii="黑体" w:hAnsi="黑体" w:eastAsia="黑体" w:cs="黑体"/>
          <w:snapToGrid/>
          <w:kern w:val="21"/>
          <w:sz w:val="32"/>
          <w:szCs w:val="32"/>
          <w:lang w:eastAsia="zh-CN"/>
        </w:rPr>
        <w:t>二、支出科目</w:t>
      </w:r>
    </w:p>
    <w:p>
      <w:pPr>
        <w:keepNext w:val="0"/>
        <w:keepLines w:val="0"/>
        <w:pageBreakBefore w:val="0"/>
        <w:kinsoku/>
        <w:wordWrap/>
        <w:overflowPunct/>
        <w:topLinePunct w:val="0"/>
        <w:autoSpaceDE/>
        <w:autoSpaceDN/>
        <w:bidi w:val="0"/>
        <w:adjustRightInd/>
        <w:snapToGrid/>
        <w:spacing w:line="540" w:lineRule="exact"/>
        <w:ind w:firstLine="680" w:firstLineChars="200"/>
        <w:textAlignment w:val="auto"/>
        <w:rPr>
          <w:rFonts w:hint="eastAsia" w:ascii="Times New Roman" w:hAnsi="Times New Roman" w:eastAsia="仿宋_GB2312" w:cs="仿宋_GB2312"/>
          <w:color w:val="auto"/>
          <w:spacing w:val="10"/>
          <w:kern w:val="2"/>
          <w:sz w:val="32"/>
          <w:szCs w:val="32"/>
          <w:lang w:val="en-US" w:eastAsia="zh-CN" w:bidi="ar-SA"/>
        </w:rPr>
      </w:pPr>
      <w:r>
        <w:rPr>
          <w:rFonts w:hint="eastAsia" w:ascii="Times New Roman" w:hAnsi="Times New Roman" w:eastAsia="仿宋_GB2312" w:cs="仿宋_GB2312"/>
          <w:color w:val="auto"/>
          <w:spacing w:val="10"/>
          <w:kern w:val="2"/>
          <w:sz w:val="32"/>
          <w:szCs w:val="32"/>
          <w:lang w:val="en-US" w:eastAsia="zh-CN" w:bidi="ar-SA"/>
        </w:rPr>
        <w:t>免费婚检：通过婚前全面的体检，可以发现一些异常情况和疾病，从而达到及早诊断、积极矫治的目的，</w:t>
      </w:r>
    </w:p>
    <w:p>
      <w:pPr>
        <w:widowControl w:val="0"/>
        <w:kinsoku/>
        <w:overflowPunct w:val="0"/>
        <w:topLinePunct/>
        <w:autoSpaceDE/>
        <w:autoSpaceDN/>
        <w:spacing w:line="560" w:lineRule="exact"/>
        <w:ind w:firstLine="680" w:firstLineChars="200"/>
        <w:jc w:val="both"/>
        <w:outlineLvl w:val="1"/>
        <w:rPr>
          <w:rFonts w:hint="eastAsia" w:ascii="黑体" w:hAnsi="黑体" w:eastAsia="黑体" w:cs="黑体"/>
          <w:snapToGrid/>
          <w:kern w:val="21"/>
          <w:sz w:val="32"/>
          <w:szCs w:val="32"/>
          <w:lang w:eastAsia="zh-CN"/>
        </w:rPr>
      </w:pPr>
      <w:r>
        <w:rPr>
          <w:rFonts w:hint="eastAsia" w:ascii="Times New Roman" w:hAnsi="Times New Roman" w:eastAsia="仿宋_GB2312" w:cs="仿宋_GB2312"/>
          <w:color w:val="auto"/>
          <w:spacing w:val="10"/>
          <w:kern w:val="2"/>
          <w:sz w:val="32"/>
          <w:szCs w:val="32"/>
          <w:lang w:val="en-US" w:eastAsia="zh-CN" w:bidi="ar-SA"/>
        </w:rPr>
        <w:t>两癌筛查：是筛查出宫颈癌和乳腺癌两种疾病，做到早发现，早预防，早治疗。</w:t>
      </w:r>
    </w:p>
    <w:p>
      <w:pPr>
        <w:widowControl w:val="0"/>
        <w:kinsoku/>
        <w:overflowPunct w:val="0"/>
        <w:topLinePunct/>
        <w:autoSpaceDE/>
        <w:autoSpaceDN/>
        <w:spacing w:line="560" w:lineRule="exact"/>
        <w:ind w:firstLine="640" w:firstLineChars="200"/>
        <w:jc w:val="both"/>
        <w:outlineLvl w:val="1"/>
        <w:rPr>
          <w:rFonts w:ascii="黑体" w:hAnsi="黑体" w:eastAsia="黑体" w:cs="黑体"/>
          <w:snapToGrid/>
          <w:kern w:val="21"/>
          <w:sz w:val="32"/>
          <w:szCs w:val="32"/>
          <w:lang w:eastAsia="zh-CN"/>
        </w:rPr>
      </w:pPr>
      <w:r>
        <w:rPr>
          <w:rFonts w:hint="eastAsia" w:ascii="黑体" w:hAnsi="黑体" w:eastAsia="黑体" w:cs="黑体"/>
          <w:snapToGrid/>
          <w:kern w:val="21"/>
          <w:sz w:val="32"/>
          <w:szCs w:val="32"/>
          <w:lang w:eastAsia="zh-CN"/>
        </w:rPr>
        <w:t>三、相关专业名词</w:t>
      </w:r>
    </w:p>
    <w:p>
      <w:pPr>
        <w:pStyle w:val="3"/>
        <w:widowControl w:val="0"/>
        <w:kinsoku/>
        <w:overflowPunct w:val="0"/>
        <w:topLinePunct/>
        <w:autoSpaceDE/>
        <w:autoSpaceDN/>
        <w:spacing w:line="560" w:lineRule="exact"/>
        <w:ind w:firstLine="659"/>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（一）机关运行费：</w:t>
      </w:r>
      <w:r>
        <w:rPr>
          <w:rFonts w:ascii="Times New Roman" w:hAnsi="Times New Roman" w:eastAsia="仿宋_GB2312" w:cs="Times New Roman"/>
          <w:snapToGrid/>
          <w:kern w:val="21"/>
          <w:sz w:val="32"/>
          <w:szCs w:val="32"/>
          <w:lang w:eastAsia="zh-CN"/>
        </w:rPr>
        <w:t>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pStyle w:val="3"/>
        <w:widowControl w:val="0"/>
        <w:tabs>
          <w:tab w:val="left" w:pos="168"/>
        </w:tabs>
        <w:kinsoku/>
        <w:overflowPunct w:val="0"/>
        <w:topLinePunct/>
        <w:autoSpaceDE/>
        <w:autoSpaceDN/>
        <w:spacing w:line="560" w:lineRule="exact"/>
        <w:ind w:firstLine="759"/>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（二）“三公”经费</w:t>
      </w:r>
      <w:r>
        <w:rPr>
          <w:rFonts w:ascii="Times New Roman" w:hAnsi="Times New Roman" w:eastAsia="仿宋_GB2312" w:cs="Times New Roman"/>
          <w:snapToGrid/>
          <w:kern w:val="21"/>
          <w:sz w:val="32"/>
          <w:szCs w:val="32"/>
          <w:lang w:eastAsia="zh-CN"/>
        </w:rPr>
        <w:t>：指用财政拨款安排的因公出国（境）费、公务用车购置及运行维护费和公务接待费。其中，因公出国</w:t>
      </w:r>
      <w:r>
        <w:rPr>
          <w:rFonts w:ascii="Times New Roman" w:hAnsi="Times New Roman" w:eastAsia="仿宋_GB2312" w:cs="Times New Roman"/>
          <w:snapToGrid/>
          <w:kern w:val="21"/>
          <w:sz w:val="32"/>
          <w:szCs w:val="32"/>
          <w:lang w:eastAsia="zh-CN"/>
        </w:rPr>
        <w:tab/>
      </w:r>
      <w:r>
        <w:rPr>
          <w:rFonts w:ascii="Times New Roman" w:hAnsi="Times New Roman" w:eastAsia="仿宋_GB2312" w:cs="Times New Roman"/>
          <w:snapToGrid/>
          <w:kern w:val="21"/>
          <w:sz w:val="32"/>
          <w:szCs w:val="32"/>
          <w:lang w:eastAsia="zh-CN"/>
        </w:rPr>
        <w:t>（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pStyle w:val="3"/>
        <w:widowControl w:val="0"/>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（三）基本支出：</w:t>
      </w:r>
      <w:r>
        <w:rPr>
          <w:rFonts w:ascii="Times New Roman" w:hAnsi="Times New Roman" w:eastAsia="仿宋_GB2312" w:cs="Times New Roman"/>
          <w:snapToGrid/>
          <w:kern w:val="21"/>
          <w:sz w:val="32"/>
          <w:szCs w:val="32"/>
          <w:lang w:eastAsia="zh-CN"/>
        </w:rPr>
        <w:t>指为保障机构正常运转、完成日常工作任务而发生的人员支出和公用支出。</w:t>
      </w:r>
    </w:p>
    <w:p/>
    <w:p>
      <w:pPr>
        <w:pStyle w:val="3"/>
        <w:widowControl w:val="0"/>
        <w:numPr>
          <w:ilvl w:val="0"/>
          <w:numId w:val="3"/>
        </w:numPr>
        <w:kinsoku/>
        <w:overflowPunct w:val="0"/>
        <w:topLinePunct/>
        <w:autoSpaceDE/>
        <w:autoSpaceDN/>
        <w:spacing w:line="560" w:lineRule="exact"/>
        <w:ind w:firstLine="640" w:firstLineChars="200"/>
        <w:jc w:val="both"/>
        <w:rPr>
          <w:rFonts w:ascii="Times New Roman" w:hAnsi="Times New Roman" w:eastAsia="仿宋_GB2312" w:cs="Times New Roman"/>
          <w:snapToGrid/>
          <w:kern w:val="21"/>
          <w:sz w:val="32"/>
          <w:szCs w:val="32"/>
          <w:lang w:eastAsia="zh-CN"/>
        </w:rPr>
      </w:pPr>
      <w:r>
        <w:rPr>
          <w:rFonts w:hint="eastAsia" w:ascii="楷体_GB2312" w:hAnsi="楷体_GB2312" w:eastAsia="楷体_GB2312" w:cs="楷体_GB2312"/>
          <w:snapToGrid/>
          <w:kern w:val="21"/>
          <w:sz w:val="32"/>
          <w:szCs w:val="32"/>
          <w:lang w:eastAsia="zh-CN"/>
        </w:rPr>
        <w:t>项目支出：</w:t>
      </w:r>
      <w:r>
        <w:rPr>
          <w:rFonts w:ascii="Times New Roman" w:hAnsi="Times New Roman" w:eastAsia="仿宋_GB2312" w:cs="Times New Roman"/>
          <w:snapToGrid/>
          <w:kern w:val="21"/>
          <w:sz w:val="32"/>
          <w:szCs w:val="32"/>
          <w:lang w:eastAsia="zh-CN"/>
        </w:rPr>
        <w:t>指在基本支出之外为完成特定行政任务或事业发展目标所发生的支出。</w:t>
      </w:r>
    </w:p>
    <w:sectPr>
      <w:footerReference r:id="rId4" w:type="default"/>
      <w:pgSz w:w="11900" w:h="16830"/>
      <w:pgMar w:top="1417" w:right="1417" w:bottom="1417" w:left="1417" w:header="0" w:footer="1105"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0000000000000000000"/>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0" w:lineRule="auto"/>
      <w:ind w:left="4207"/>
      <w:rPr>
        <w:rFonts w:ascii="宋体" w:hAnsi="宋体" w:eastAsia="宋体" w:cs="宋体"/>
      </w:rPr>
    </w:pPr>
    <w:r>
      <w:rPr>
        <w:lang w:eastAsia="zh-CN"/>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- 34 -</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- 34 -</w:t>
                    </w:r>
                    <w:r>
                      <w:rPr>
                        <w:rFonts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7A3E28"/>
    <w:multiLevelType w:val="singleLevel"/>
    <w:tmpl w:val="ED7A3E28"/>
    <w:lvl w:ilvl="0" w:tentative="0">
      <w:start w:val="1"/>
      <w:numFmt w:val="decimal"/>
      <w:lvlText w:val="%1."/>
      <w:lvlJc w:val="left"/>
      <w:pPr>
        <w:tabs>
          <w:tab w:val="left" w:pos="312"/>
        </w:tabs>
      </w:pPr>
    </w:lvl>
  </w:abstractNum>
  <w:abstractNum w:abstractNumId="1">
    <w:nsid w:val="F685F548"/>
    <w:multiLevelType w:val="singleLevel"/>
    <w:tmpl w:val="F685F548"/>
    <w:lvl w:ilvl="0" w:tentative="0">
      <w:start w:val="2"/>
      <w:numFmt w:val="chineseCounting"/>
      <w:suff w:val="space"/>
      <w:lvlText w:val="第%1部分"/>
      <w:lvlJc w:val="left"/>
      <w:rPr>
        <w:rFonts w:hint="eastAsia"/>
      </w:rPr>
    </w:lvl>
  </w:abstractNum>
  <w:abstractNum w:abstractNumId="2">
    <w:nsid w:val="63B8E316"/>
    <w:multiLevelType w:val="singleLevel"/>
    <w:tmpl w:val="63B8E316"/>
    <w:lvl w:ilvl="0" w:tentative="0">
      <w:start w:val="4"/>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NotDisplayPageBoundaries w:val="1"/>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E1YmMyOGU2ZmUwMzlkMjdmYjkyZDc5MDNjMTJhYzIifQ=="/>
    <w:docVar w:name="KSO_WPS_MARK_KEY" w:val="04b21f6d-6d10-4b41-bd6b-e5942d1cd47c"/>
  </w:docVars>
  <w:rsids>
    <w:rsidRoot w:val="00126C90"/>
    <w:rsid w:val="000A403D"/>
    <w:rsid w:val="000E4EDC"/>
    <w:rsid w:val="00126C90"/>
    <w:rsid w:val="001B40E4"/>
    <w:rsid w:val="003356E5"/>
    <w:rsid w:val="00497AC3"/>
    <w:rsid w:val="00506EA8"/>
    <w:rsid w:val="00711C4C"/>
    <w:rsid w:val="00750511"/>
    <w:rsid w:val="0075737A"/>
    <w:rsid w:val="00792B08"/>
    <w:rsid w:val="007E7B5F"/>
    <w:rsid w:val="00977879"/>
    <w:rsid w:val="009D353B"/>
    <w:rsid w:val="00B83570"/>
    <w:rsid w:val="00B95A75"/>
    <w:rsid w:val="00C76885"/>
    <w:rsid w:val="00C94ABC"/>
    <w:rsid w:val="00FE22DA"/>
    <w:rsid w:val="02F15379"/>
    <w:rsid w:val="064307BA"/>
    <w:rsid w:val="0A450A10"/>
    <w:rsid w:val="0C595212"/>
    <w:rsid w:val="0DDE1D79"/>
    <w:rsid w:val="12B26A30"/>
    <w:rsid w:val="17602EFE"/>
    <w:rsid w:val="17F32881"/>
    <w:rsid w:val="1F330802"/>
    <w:rsid w:val="1F5A13DC"/>
    <w:rsid w:val="20163E6A"/>
    <w:rsid w:val="21084DF1"/>
    <w:rsid w:val="23C05666"/>
    <w:rsid w:val="26355556"/>
    <w:rsid w:val="26C22705"/>
    <w:rsid w:val="27042C18"/>
    <w:rsid w:val="28CD198C"/>
    <w:rsid w:val="2A092437"/>
    <w:rsid w:val="2CBA5E58"/>
    <w:rsid w:val="308D3A8B"/>
    <w:rsid w:val="33860579"/>
    <w:rsid w:val="345B262C"/>
    <w:rsid w:val="3C511F49"/>
    <w:rsid w:val="3D02308A"/>
    <w:rsid w:val="43280DB9"/>
    <w:rsid w:val="46E052BB"/>
    <w:rsid w:val="49410921"/>
    <w:rsid w:val="49C01457"/>
    <w:rsid w:val="4AC12990"/>
    <w:rsid w:val="4EDE5EDB"/>
    <w:rsid w:val="502344EE"/>
    <w:rsid w:val="57320348"/>
    <w:rsid w:val="5ACB7C5C"/>
    <w:rsid w:val="5F5031D4"/>
    <w:rsid w:val="5F6209AB"/>
    <w:rsid w:val="6170330B"/>
    <w:rsid w:val="61A471A2"/>
    <w:rsid w:val="64393E88"/>
    <w:rsid w:val="6549634D"/>
    <w:rsid w:val="65757142"/>
    <w:rsid w:val="676C00D0"/>
    <w:rsid w:val="6AD27C36"/>
    <w:rsid w:val="6C2A0867"/>
    <w:rsid w:val="6E1E0CF5"/>
    <w:rsid w:val="6EFB35AA"/>
    <w:rsid w:val="6F2C4161"/>
    <w:rsid w:val="6F5C6C7D"/>
    <w:rsid w:val="70B34FC2"/>
    <w:rsid w:val="70DD3DED"/>
    <w:rsid w:val="71C9497B"/>
    <w:rsid w:val="762C2168"/>
    <w:rsid w:val="79822A44"/>
    <w:rsid w:val="7D3E5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9">
    <w:name w:val="Default Paragraph Font"/>
    <w:autoRedefine/>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List"/>
    <w:basedOn w:val="1"/>
    <w:autoRedefine/>
    <w:unhideWhenUsed/>
    <w:qFormat/>
    <w:uiPriority w:val="99"/>
    <w:pPr>
      <w:ind w:left="200" w:hanging="200" w:hangingChars="200"/>
      <w:contextualSpacing/>
    </w:pPr>
    <w:rPr>
      <w:rFonts w:ascii="Calibri" w:hAnsi="Calibri"/>
      <w:szCs w:val="22"/>
    </w:rPr>
  </w:style>
  <w:style w:type="paragraph" w:styleId="3">
    <w:name w:val="Body Text"/>
    <w:basedOn w:val="1"/>
    <w:semiHidden/>
    <w:qFormat/>
    <w:uiPriority w:val="0"/>
    <w:rPr>
      <w:rFonts w:ascii="仿宋" w:hAnsi="仿宋" w:eastAsia="仿宋" w:cs="仿宋"/>
      <w:sz w:val="36"/>
      <w:szCs w:val="36"/>
    </w:rPr>
  </w:style>
  <w:style w:type="paragraph" w:styleId="4">
    <w:name w:val="Balloon Text"/>
    <w:basedOn w:val="1"/>
    <w:link w:val="12"/>
    <w:semiHidden/>
    <w:unhideWhenUsed/>
    <w:uiPriority w:val="99"/>
    <w:rPr>
      <w:sz w:val="18"/>
      <w:szCs w:val="18"/>
    </w:rPr>
  </w:style>
  <w:style w:type="paragraph" w:styleId="5">
    <w:name w:val="footer"/>
    <w:basedOn w:val="1"/>
    <w:link w:val="14"/>
    <w:unhideWhenUsed/>
    <w:qFormat/>
    <w:uiPriority w:val="99"/>
    <w:pPr>
      <w:tabs>
        <w:tab w:val="center" w:pos="4153"/>
        <w:tab w:val="right" w:pos="8306"/>
      </w:tabs>
    </w:pPr>
    <w:rPr>
      <w:sz w:val="18"/>
      <w:szCs w:val="18"/>
    </w:rPr>
  </w:style>
  <w:style w:type="paragraph" w:styleId="6">
    <w:name w:val="header"/>
    <w:basedOn w:val="1"/>
    <w:link w:val="13"/>
    <w:autoRedefine/>
    <w:unhideWhenUsed/>
    <w:qFormat/>
    <w:uiPriority w:val="99"/>
    <w:pPr>
      <w:pBdr>
        <w:bottom w:val="single" w:color="auto" w:sz="6" w:space="1"/>
      </w:pBdr>
      <w:tabs>
        <w:tab w:val="center" w:pos="4153"/>
        <w:tab w:val="right" w:pos="8306"/>
      </w:tabs>
      <w:jc w:val="center"/>
    </w:pPr>
    <w:rPr>
      <w:sz w:val="18"/>
      <w:szCs w:val="18"/>
    </w:rPr>
  </w:style>
  <w:style w:type="paragraph" w:styleId="7">
    <w:name w:val="Normal (Web)"/>
    <w:basedOn w:val="1"/>
    <w:semiHidden/>
    <w:unhideWhenUsed/>
    <w:uiPriority w:val="99"/>
    <w:rPr>
      <w:sz w:val="24"/>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Table Text"/>
    <w:basedOn w:val="1"/>
    <w:autoRedefine/>
    <w:semiHidden/>
    <w:qFormat/>
    <w:uiPriority w:val="0"/>
    <w:rPr>
      <w:rFonts w:eastAsia="Arial"/>
    </w:rPr>
  </w:style>
  <w:style w:type="character" w:customStyle="1" w:styleId="12">
    <w:name w:val="批注框文本 Char"/>
    <w:basedOn w:val="9"/>
    <w:link w:val="4"/>
    <w:autoRedefine/>
    <w:semiHidden/>
    <w:qFormat/>
    <w:uiPriority w:val="99"/>
    <w:rPr>
      <w:sz w:val="18"/>
      <w:szCs w:val="18"/>
    </w:rPr>
  </w:style>
  <w:style w:type="character" w:customStyle="1" w:styleId="13">
    <w:name w:val="页眉 Char"/>
    <w:basedOn w:val="9"/>
    <w:link w:val="6"/>
    <w:autoRedefine/>
    <w:qFormat/>
    <w:uiPriority w:val="99"/>
    <w:rPr>
      <w:sz w:val="18"/>
      <w:szCs w:val="18"/>
    </w:rPr>
  </w:style>
  <w:style w:type="character" w:customStyle="1" w:styleId="14">
    <w:name w:val="页脚 Char"/>
    <w:basedOn w:val="9"/>
    <w:link w:val="5"/>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1992</Words>
  <Characters>11357</Characters>
  <Lines>94</Lines>
  <Paragraphs>26</Paragraphs>
  <TotalTime>23</TotalTime>
  <ScaleCrop>false</ScaleCrop>
  <LinksUpToDate>false</LinksUpToDate>
  <CharactersWithSpaces>13323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2024-02-26T07:20:00Z</dcterms:created>
  <dc:creator>Kingsoft-PDF</dc:creator>
  <cp:lastModifiedBy>Administrator</cp:lastModifiedBy>
  <cp:lastPrinted>2024-02-01T03:57:00Z</cp:lastPrinted>
  <dcterms:modified xsi:type="dcterms:W3CDTF">2024-03-01T08:59:32Z</dcterms:modified>
  <dc:subject>pdfbuilder</dc:subject>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2024-01-30T10:53:58Z</vt:filetime>
  </property>
  <property fmtid="{D5CDD505-2E9C-101B-9397-08002B2CF9AE}" pid="4" name="UsrData">
    <vt:lpwstr>65b864bb80a245001f648a21wl</vt:lpwstr>
  </property>
  <property fmtid="{D5CDD505-2E9C-101B-9397-08002B2CF9AE}" pid="5" name="KSOProductBuildVer">
    <vt:lpwstr>2052-12.1.0.16388</vt:lpwstr>
  </property>
  <property fmtid="{D5CDD505-2E9C-101B-9397-08002B2CF9AE}" pid="6" name="ICV">
    <vt:lpwstr>932802ACD1B64F1A9DAE807017D09F51_13</vt:lpwstr>
  </property>
</Properties>
</file>