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3"/>
        </w:tabs>
        <w:spacing w:line="560" w:lineRule="exact"/>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ab/>
      </w:r>
      <w:r>
        <w:rPr>
          <w:rFonts w:hint="eastAsia" w:ascii="方正小标宋简体" w:hAnsi="方正小标宋简体" w:eastAsia="方正小标宋简体" w:cs="方正小标宋简体"/>
          <w:spacing w:val="10"/>
          <w:sz w:val="44"/>
          <w:szCs w:val="44"/>
        </w:rPr>
        <w:t>新建区财政局</w:t>
      </w: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年部门预算</w:t>
      </w:r>
    </w:p>
    <w:p>
      <w:pPr>
        <w:spacing w:afterLines="82" w:line="560" w:lineRule="exact"/>
        <w:rPr>
          <w:rFonts w:ascii="Times New Roman" w:hAnsi="Times New Roman" w:eastAsia="仿宋_GB2312"/>
          <w:spacing w:val="10"/>
          <w:sz w:val="32"/>
          <w:szCs w:val="32"/>
        </w:rPr>
      </w:pPr>
    </w:p>
    <w:p>
      <w:pPr>
        <w:spacing w:line="560" w:lineRule="exact"/>
        <w:jc w:val="center"/>
        <w:rPr>
          <w:rFonts w:ascii="宋体" w:hAnsi="宋体"/>
          <w:spacing w:val="10"/>
          <w:sz w:val="36"/>
          <w:szCs w:val="36"/>
        </w:rPr>
      </w:pPr>
      <w:r>
        <w:rPr>
          <w:rFonts w:hint="eastAsia" w:ascii="宋体" w:hAnsi="宋体" w:cs="宋体"/>
          <w:spacing w:val="10"/>
          <w:sz w:val="36"/>
          <w:szCs w:val="36"/>
        </w:rPr>
        <w:t>目录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 新建区</w:t>
      </w:r>
      <w:r>
        <w:rPr>
          <w:rFonts w:ascii="黑体" w:hAnsi="黑体" w:eastAsia="黑体" w:cs="黑体"/>
          <w:spacing w:val="10"/>
          <w:sz w:val="32"/>
          <w:szCs w:val="32"/>
        </w:rPr>
        <w:t>财政局</w:t>
      </w:r>
      <w:r>
        <w:rPr>
          <w:rFonts w:hint="eastAsia" w:ascii="黑体" w:hAnsi="黑体" w:eastAsia="黑体" w:cs="黑体"/>
          <w:spacing w:val="10"/>
          <w:sz w:val="32"/>
          <w:szCs w:val="32"/>
        </w:rPr>
        <w:t>概况</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第二部分新建区财政局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1020" w:firstLineChars="3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rPr>
          <w:rFonts w:ascii="宋体" w:hAnsi="宋体"/>
          <w:spacing w:val="-11"/>
        </w:rPr>
        <w:sectPr>
          <w:footerReference r:id="rId3" w:type="default"/>
          <w:pgSz w:w="11900" w:h="16820"/>
          <w:pgMar w:top="1417" w:right="1417" w:bottom="1417" w:left="1417" w:header="0" w:footer="1089" w:gutter="0"/>
          <w:pgNumType w:fmt="numberInDash"/>
          <w:cols w:space="720" w:num="1"/>
        </w:sectPr>
      </w:pPr>
      <w:r>
        <w:rPr>
          <w:rFonts w:hint="eastAsia" w:ascii="宋体" w:hAnsi="宋体" w:cs="宋体"/>
          <w:spacing w:val="-11"/>
        </w:rPr>
        <w:t>。</w:t>
      </w:r>
    </w:p>
    <w:p>
      <w:pPr>
        <w:spacing w:line="560" w:lineRule="exact"/>
        <w:ind w:firstLine="680" w:firstLineChars="200"/>
        <w:rPr>
          <w:rFonts w:ascii="Times New Roman" w:hAnsi="Times New Roman" w:eastAsia="仿宋_GB2312"/>
          <w:spacing w:val="10"/>
          <w:sz w:val="32"/>
          <w:szCs w:val="32"/>
        </w:rPr>
      </w:pPr>
    </w:p>
    <w:p>
      <w:pPr>
        <w:numPr>
          <w:ilvl w:val="0"/>
          <w:numId w:val="1"/>
        </w:num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lang w:val="en-US" w:eastAsia="zh-CN"/>
        </w:rPr>
        <w:t xml:space="preserve">   </w:t>
      </w:r>
      <w:r>
        <w:rPr>
          <w:rFonts w:hint="eastAsia" w:ascii="Times New Roman" w:hAnsi="Times New Roman" w:eastAsia="仿宋_GB2312" w:cs="仿宋_GB2312"/>
          <w:spacing w:val="10"/>
          <w:sz w:val="32"/>
          <w:szCs w:val="32"/>
        </w:rPr>
        <w:t>《部门整体支出绩效目标表》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十一、《重点项目绩效目标表》</w:t>
      </w:r>
    </w:p>
    <w:p>
      <w:pPr>
        <w:spacing w:line="560" w:lineRule="exact"/>
        <w:rPr>
          <w:rFonts w:ascii="黑体" w:hAnsi="黑体" w:eastAsia="黑体" w:cs="黑体"/>
          <w:spacing w:val="10"/>
          <w:sz w:val="32"/>
          <w:szCs w:val="32"/>
        </w:rPr>
      </w:pPr>
      <w:r>
        <w:rPr>
          <w:rFonts w:hint="eastAsia" w:ascii="黑体" w:hAnsi="黑体" w:eastAsia="黑体" w:cs="黑体"/>
          <w:spacing w:val="10"/>
          <w:sz w:val="32"/>
          <w:szCs w:val="32"/>
        </w:rPr>
        <w:t>第三部分 新建区</w:t>
      </w:r>
      <w:r>
        <w:rPr>
          <w:rFonts w:ascii="黑体" w:hAnsi="黑体" w:eastAsia="黑体" w:cs="黑体"/>
          <w:spacing w:val="10"/>
          <w:sz w:val="32"/>
          <w:szCs w:val="32"/>
        </w:rPr>
        <w:t>财政局202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rPr>
          <w:rFonts w:ascii="黑体" w:hAnsi="黑体" w:eastAsia="黑体"/>
          <w:spacing w:val="10"/>
          <w:sz w:val="32"/>
          <w:szCs w:val="32"/>
        </w:rPr>
      </w:pPr>
      <w:r>
        <w:rPr>
          <w:rFonts w:hint="eastAsia" w:ascii="黑体" w:hAnsi="黑体" w:eastAsia="黑体" w:cs="黑体"/>
          <w:spacing w:val="10"/>
          <w:sz w:val="32"/>
          <w:szCs w:val="32"/>
        </w:rPr>
        <w:t>第四部分名词解释</w:t>
      </w:r>
    </w:p>
    <w:p>
      <w:pPr>
        <w:spacing w:line="560" w:lineRule="exact"/>
        <w:rPr>
          <w:rFonts w:ascii="Times New Roman" w:hAnsi="Times New Roman" w:eastAsia="仿宋_GB2312"/>
          <w:spacing w:val="10"/>
          <w:sz w:val="32"/>
          <w:szCs w:val="32"/>
        </w:rPr>
      </w:pPr>
    </w:p>
    <w:p>
      <w:pPr>
        <w:spacing w:line="560" w:lineRule="exact"/>
        <w:rPr>
          <w:rFonts w:ascii="Times New Roman" w:hAnsi="Times New Roman" w:eastAsia="仿宋_GB2312"/>
          <w:spacing w:val="10"/>
          <w:sz w:val="32"/>
          <w:szCs w:val="32"/>
        </w:rPr>
      </w:pPr>
    </w:p>
    <w:p>
      <w:pPr>
        <w:pStyle w:val="2"/>
        <w:ind w:left="420" w:hanging="420"/>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第一部分新建区财政局概况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一、部门主要职责</w:t>
      </w:r>
    </w:p>
    <w:p>
      <w:pPr>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贯彻执行国家财政、税收、宏观经济等各项方针政策，拟定全县财政、财务、会计管理及行政事业单位国有资产管理的规范性文件，编制年度区本级预决算草案并组织执行。负责政府非税收入管理，负责政府性基金管理及预算编制，管理财政票据。推行区级财政国库集中收付制度并进行监督管理，负责管理全区的会计工作，监督和规范会计行为，承办区人民政府交办的其他事项。</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shd w:val="clear" w:color="auto" w:fill="FFFFFF"/>
        <w:spacing w:line="376" w:lineRule="atLeast"/>
        <w:ind w:firstLine="36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编制数122,　其中行政18、事业104、实有人数129人，其中行政39人、事业90人、退休70人。</w:t>
      </w:r>
    </w:p>
    <w:p>
      <w:pPr>
        <w:spacing w:line="560" w:lineRule="exact"/>
        <w:jc w:val="center"/>
        <w:rPr>
          <w:rFonts w:ascii="Times New Roman" w:hAnsi="Times New Roman" w:eastAsia="仿宋_GB2312"/>
          <w:spacing w:val="10"/>
          <w:sz w:val="32"/>
          <w:szCs w:val="32"/>
        </w:rPr>
      </w:pPr>
    </w:p>
    <w:p>
      <w:pPr>
        <w:pStyle w:val="2"/>
        <w:ind w:left="420" w:hanging="420"/>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hint="eastAsia" w:ascii="黑体" w:hAnsi="黑体" w:eastAsia="黑体" w:cs="黑体"/>
          <w:spacing w:val="10"/>
          <w:sz w:val="32"/>
          <w:szCs w:val="32"/>
        </w:rPr>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第二部分新建区财政局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年部门预算表</w:t>
      </w:r>
    </w:p>
    <w:p>
      <w:pPr>
        <w:spacing w:line="560" w:lineRule="exact"/>
        <w:ind w:firstLine="680" w:firstLineChars="200"/>
        <w:jc w:val="center"/>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（详见附表）</w:t>
      </w:r>
    </w:p>
    <w:p>
      <w:pPr>
        <w:spacing w:line="560" w:lineRule="exact"/>
        <w:jc w:val="both"/>
        <w:rPr>
          <w:rFonts w:ascii="Times New Roman" w:hAnsi="Times New Roman" w:eastAsia="仿宋_GB2312"/>
          <w:spacing w:val="10"/>
          <w:sz w:val="32"/>
          <w:szCs w:val="32"/>
        </w:rPr>
      </w:pPr>
    </w:p>
    <w:p>
      <w:pPr>
        <w:pStyle w:val="2"/>
        <w:ind w:left="420" w:hanging="420"/>
      </w:pPr>
    </w:p>
    <w:p>
      <w:pPr>
        <w:spacing w:line="560" w:lineRule="exact"/>
        <w:ind w:firstLine="1020" w:firstLineChars="300"/>
        <w:rPr>
          <w:rFonts w:ascii="黑体" w:hAnsi="黑体" w:eastAsia="黑体"/>
          <w:spacing w:val="10"/>
          <w:sz w:val="32"/>
          <w:szCs w:val="32"/>
        </w:rPr>
      </w:pPr>
      <w:r>
        <w:rPr>
          <w:rFonts w:hint="eastAsia" w:ascii="黑体" w:hAnsi="黑体" w:eastAsia="黑体" w:cs="黑体"/>
          <w:spacing w:val="10"/>
          <w:sz w:val="32"/>
          <w:szCs w:val="32"/>
        </w:rPr>
        <w:t>第三部分新建区财政局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年部门预算情况说明</w:t>
      </w:r>
    </w:p>
    <w:p>
      <w:pPr>
        <w:spacing w:line="560" w:lineRule="exact"/>
        <w:ind w:firstLine="680" w:firstLineChars="200"/>
        <w:jc w:val="center"/>
        <w:rPr>
          <w:rFonts w:ascii="黑体" w:hAnsi="黑体" w:eastAsia="黑体"/>
          <w:spacing w:val="10"/>
          <w:sz w:val="32"/>
          <w:szCs w:val="32"/>
        </w:rPr>
      </w:pPr>
    </w:p>
    <w:p>
      <w:pPr>
        <w:pStyle w:val="2"/>
        <w:ind w:left="420" w:hanging="42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年部门预算收支情况说明</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本部门202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年部门预算收入总计</w:t>
      </w:r>
      <w:r>
        <w:rPr>
          <w:rFonts w:hint="eastAsia" w:ascii="Times New Roman" w:hAnsi="Times New Roman" w:eastAsia="仿宋_GB2312" w:cs="仿宋_GB2312"/>
          <w:spacing w:val="10"/>
          <w:sz w:val="32"/>
          <w:szCs w:val="32"/>
          <w:lang w:val="en-US" w:eastAsia="zh-CN"/>
        </w:rPr>
        <w:t>2927.02</w:t>
      </w:r>
      <w:r>
        <w:rPr>
          <w:rFonts w:hint="eastAsia" w:ascii="Times New Roman" w:hAnsi="Times New Roman" w:eastAsia="仿宋_GB2312" w:cs="仿宋_GB2312"/>
          <w:spacing w:val="10"/>
          <w:sz w:val="32"/>
          <w:szCs w:val="32"/>
        </w:rPr>
        <w:t>万元，其中：财政拨款</w:t>
      </w:r>
      <w:r>
        <w:rPr>
          <w:rFonts w:hint="eastAsia" w:ascii="Times New Roman" w:hAnsi="Times New Roman" w:eastAsia="仿宋_GB2312" w:cs="仿宋_GB2312"/>
          <w:spacing w:val="10"/>
          <w:sz w:val="32"/>
          <w:szCs w:val="32"/>
          <w:lang w:val="en-US" w:eastAsia="zh-CN"/>
        </w:rPr>
        <w:t>2927.02</w:t>
      </w:r>
      <w:r>
        <w:rPr>
          <w:rFonts w:hint="eastAsia" w:ascii="Times New Roman" w:hAnsi="Times New Roman" w:eastAsia="仿宋_GB2312" w:cs="仿宋_GB2312"/>
          <w:spacing w:val="10"/>
          <w:sz w:val="32"/>
          <w:szCs w:val="32"/>
        </w:rPr>
        <w:t>万元，其他收入300万元。较去年</w:t>
      </w:r>
      <w:r>
        <w:rPr>
          <w:rFonts w:hint="eastAsia" w:ascii="Times New Roman" w:hAnsi="Times New Roman" w:eastAsia="仿宋_GB2312" w:cs="仿宋_GB2312"/>
          <w:spacing w:val="10"/>
          <w:sz w:val="32"/>
          <w:szCs w:val="32"/>
          <w:lang w:val="en-US" w:eastAsia="zh-CN"/>
        </w:rPr>
        <w:t>下降</w:t>
      </w:r>
      <w:r>
        <w:rPr>
          <w:rFonts w:hint="eastAsia" w:ascii="Times New Roman" w:hAnsi="Times New Roman" w:eastAsia="仿宋_GB2312" w:cs="仿宋_GB2312"/>
          <w:spacing w:val="10"/>
          <w:sz w:val="32"/>
          <w:szCs w:val="32"/>
        </w:rPr>
        <w:t>3.56%。</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（二）支出预算情况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本部门202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年预算支出总计</w:t>
      </w:r>
      <w:r>
        <w:rPr>
          <w:rFonts w:hint="eastAsia" w:ascii="Times New Roman" w:hAnsi="Times New Roman" w:eastAsia="仿宋_GB2312" w:cs="仿宋_GB2312"/>
          <w:spacing w:val="10"/>
          <w:sz w:val="32"/>
          <w:szCs w:val="32"/>
          <w:lang w:val="en-US" w:eastAsia="zh-CN"/>
        </w:rPr>
        <w:t>2927.02</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val="en-US" w:eastAsia="zh-CN"/>
        </w:rPr>
        <w:t>基本支出2177.02万元，</w:t>
      </w:r>
      <w:r>
        <w:rPr>
          <w:rFonts w:hint="eastAsia" w:ascii="Times New Roman" w:hAnsi="Times New Roman" w:eastAsia="仿宋_GB2312" w:cs="仿宋_GB2312"/>
          <w:spacing w:val="10"/>
          <w:sz w:val="32"/>
          <w:szCs w:val="32"/>
        </w:rPr>
        <w:t>其中：工资福利支出</w:t>
      </w:r>
      <w:r>
        <w:rPr>
          <w:rFonts w:hint="eastAsia" w:ascii="Times New Roman" w:hAnsi="Times New Roman" w:eastAsia="仿宋_GB2312" w:cs="仿宋_GB2312"/>
          <w:spacing w:val="10"/>
          <w:sz w:val="32"/>
          <w:szCs w:val="32"/>
          <w:lang w:val="en-US" w:eastAsia="zh-CN"/>
        </w:rPr>
        <w:t>1861.73</w:t>
      </w:r>
      <w:r>
        <w:rPr>
          <w:rFonts w:hint="eastAsia" w:ascii="Times New Roman" w:hAnsi="Times New Roman" w:eastAsia="仿宋_GB2312" w:cs="仿宋_GB2312"/>
          <w:spacing w:val="10"/>
          <w:sz w:val="32"/>
          <w:szCs w:val="32"/>
        </w:rPr>
        <w:t>万元，占支出预算总额的</w:t>
      </w:r>
      <w:r>
        <w:rPr>
          <w:rFonts w:hint="eastAsia" w:ascii="Times New Roman" w:hAnsi="Times New Roman" w:eastAsia="仿宋_GB2312" w:cs="仿宋_GB2312"/>
          <w:spacing w:val="10"/>
          <w:sz w:val="32"/>
          <w:szCs w:val="32"/>
          <w:lang w:val="en-US" w:eastAsia="zh-CN"/>
        </w:rPr>
        <w:t>63.6</w:t>
      </w:r>
      <w:r>
        <w:rPr>
          <w:rFonts w:hint="eastAsia" w:ascii="Times New Roman" w:hAnsi="Times New Roman" w:eastAsia="仿宋_GB2312" w:cs="仿宋_GB2312"/>
          <w:spacing w:val="10"/>
          <w:sz w:val="32"/>
          <w:szCs w:val="32"/>
        </w:rPr>
        <w:t>%，商品和服务支出</w:t>
      </w:r>
      <w:r>
        <w:rPr>
          <w:rFonts w:hint="eastAsia" w:ascii="Times New Roman" w:hAnsi="Times New Roman" w:eastAsia="仿宋_GB2312" w:cs="仿宋_GB2312"/>
          <w:spacing w:val="10"/>
          <w:sz w:val="32"/>
          <w:szCs w:val="32"/>
          <w:lang w:val="en-US" w:eastAsia="zh-CN"/>
        </w:rPr>
        <w:t>58.46</w:t>
      </w:r>
      <w:r>
        <w:rPr>
          <w:rFonts w:hint="eastAsia" w:ascii="Times New Roman" w:hAnsi="Times New Roman" w:eastAsia="仿宋_GB2312" w:cs="仿宋_GB2312"/>
          <w:spacing w:val="10"/>
          <w:sz w:val="32"/>
          <w:szCs w:val="32"/>
        </w:rPr>
        <w:t>万元，占支出预算总额的</w:t>
      </w:r>
      <w:r>
        <w:rPr>
          <w:rFonts w:hint="eastAsia" w:ascii="Times New Roman" w:hAnsi="Times New Roman" w:eastAsia="仿宋_GB2312" w:cs="仿宋_GB2312"/>
          <w:spacing w:val="10"/>
          <w:sz w:val="32"/>
          <w:szCs w:val="32"/>
          <w:lang w:val="en-US" w:eastAsia="zh-CN"/>
        </w:rPr>
        <w:t>2.0</w:t>
      </w:r>
      <w:r>
        <w:rPr>
          <w:rFonts w:hint="eastAsia" w:ascii="Times New Roman" w:hAnsi="Times New Roman" w:eastAsia="仿宋_GB2312" w:cs="仿宋_GB2312"/>
          <w:spacing w:val="10"/>
          <w:sz w:val="32"/>
          <w:szCs w:val="32"/>
        </w:rPr>
        <w:t>%，对个人和家庭的补助支出</w:t>
      </w:r>
      <w:r>
        <w:rPr>
          <w:rFonts w:hint="eastAsia" w:ascii="Times New Roman" w:hAnsi="Times New Roman" w:eastAsia="仿宋_GB2312" w:cs="仿宋_GB2312"/>
          <w:spacing w:val="10"/>
          <w:sz w:val="32"/>
          <w:szCs w:val="32"/>
          <w:lang w:val="en-US" w:eastAsia="zh-CN"/>
        </w:rPr>
        <w:t>256.83</w:t>
      </w:r>
      <w:r>
        <w:rPr>
          <w:rFonts w:hint="eastAsia" w:ascii="Times New Roman" w:hAnsi="Times New Roman" w:eastAsia="仿宋_GB2312" w:cs="仿宋_GB2312"/>
          <w:spacing w:val="10"/>
          <w:sz w:val="32"/>
          <w:szCs w:val="32"/>
        </w:rPr>
        <w:t>万元，占支出预算总额的</w:t>
      </w:r>
      <w:r>
        <w:rPr>
          <w:rFonts w:hint="eastAsia" w:ascii="Times New Roman" w:hAnsi="Times New Roman" w:eastAsia="仿宋_GB2312" w:cs="仿宋_GB2312"/>
          <w:spacing w:val="10"/>
          <w:sz w:val="32"/>
          <w:szCs w:val="32"/>
          <w:lang w:val="en-US" w:eastAsia="zh-CN"/>
        </w:rPr>
        <w:t>8.77</w:t>
      </w:r>
      <w:r>
        <w:rPr>
          <w:rFonts w:hint="eastAsia" w:ascii="Times New Roman" w:hAnsi="Times New Roman" w:eastAsia="仿宋_GB2312" w:cs="仿宋_GB2312"/>
          <w:spacing w:val="10"/>
          <w:sz w:val="32"/>
          <w:szCs w:val="32"/>
        </w:rPr>
        <w:t>%。项目支出</w:t>
      </w:r>
      <w:r>
        <w:rPr>
          <w:rFonts w:hint="eastAsia" w:ascii="Times New Roman" w:hAnsi="Times New Roman" w:eastAsia="仿宋_GB2312" w:cs="仿宋_GB2312"/>
          <w:spacing w:val="10"/>
          <w:sz w:val="32"/>
          <w:szCs w:val="32"/>
          <w:lang w:val="en-US" w:eastAsia="zh-CN"/>
        </w:rPr>
        <w:t>750</w:t>
      </w:r>
      <w:r>
        <w:rPr>
          <w:rFonts w:hint="eastAsia" w:ascii="Times New Roman" w:hAnsi="Times New Roman" w:eastAsia="仿宋_GB2312" w:cs="仿宋_GB2312"/>
          <w:spacing w:val="10"/>
          <w:sz w:val="32"/>
          <w:szCs w:val="32"/>
        </w:rPr>
        <w:t>万元，占支出预算总额的</w:t>
      </w:r>
      <w:r>
        <w:rPr>
          <w:rFonts w:hint="eastAsia" w:ascii="Times New Roman" w:hAnsi="Times New Roman" w:eastAsia="仿宋_GB2312" w:cs="仿宋_GB2312"/>
          <w:spacing w:val="10"/>
          <w:sz w:val="32"/>
          <w:szCs w:val="32"/>
          <w:lang w:val="en-US" w:eastAsia="zh-CN"/>
        </w:rPr>
        <w:t>25.63</w:t>
      </w:r>
      <w:r>
        <w:rPr>
          <w:rFonts w:hint="eastAsia" w:ascii="Times New Roman" w:hAnsi="Times New Roman" w:eastAsia="仿宋_GB2312" w:cs="仿宋_GB2312"/>
          <w:spacing w:val="10"/>
          <w:sz w:val="32"/>
          <w:szCs w:val="32"/>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spacing w:line="576"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本部门202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年度财政拨款支出年初预算数为</w:t>
      </w:r>
      <w:r>
        <w:rPr>
          <w:rFonts w:hint="eastAsia" w:ascii="Times New Roman" w:hAnsi="Times New Roman" w:eastAsia="仿宋_GB2312" w:cs="仿宋_GB2312"/>
          <w:spacing w:val="10"/>
          <w:sz w:val="32"/>
          <w:szCs w:val="32"/>
          <w:lang w:val="en-US" w:eastAsia="zh-CN"/>
        </w:rPr>
        <w:t>2927.02</w:t>
      </w:r>
      <w:r>
        <w:rPr>
          <w:rFonts w:hint="eastAsia" w:ascii="Times New Roman" w:hAnsi="Times New Roman" w:eastAsia="仿宋_GB2312" w:cs="仿宋_GB2312"/>
          <w:spacing w:val="10"/>
          <w:sz w:val="32"/>
          <w:szCs w:val="32"/>
        </w:rPr>
        <w:t>万元，较去年下降6.6%，其中：一般公共服务支出</w:t>
      </w:r>
      <w:r>
        <w:rPr>
          <w:rFonts w:hint="eastAsia" w:ascii="Times New Roman" w:hAnsi="Times New Roman" w:eastAsia="仿宋_GB2312" w:cs="仿宋_GB2312"/>
          <w:spacing w:val="10"/>
          <w:sz w:val="32"/>
          <w:szCs w:val="32"/>
          <w:lang w:val="en-US" w:eastAsia="zh-CN"/>
        </w:rPr>
        <w:t>2164.73</w:t>
      </w:r>
      <w:r>
        <w:rPr>
          <w:rFonts w:hint="eastAsia" w:ascii="Times New Roman" w:hAnsi="Times New Roman" w:eastAsia="仿宋_GB2312" w:cs="仿宋_GB2312"/>
          <w:spacing w:val="10"/>
          <w:sz w:val="32"/>
          <w:szCs w:val="32"/>
        </w:rPr>
        <w:t>万元，，社会保障和就业支出支出</w:t>
      </w:r>
      <w:r>
        <w:rPr>
          <w:rFonts w:hint="eastAsia" w:ascii="Times New Roman" w:hAnsi="Times New Roman" w:eastAsia="仿宋_GB2312" w:cs="仿宋_GB2312"/>
          <w:spacing w:val="10"/>
          <w:sz w:val="32"/>
          <w:szCs w:val="32"/>
          <w:lang w:val="en-US" w:eastAsia="zh-CN"/>
        </w:rPr>
        <w:t>473.67</w:t>
      </w:r>
      <w:r>
        <w:rPr>
          <w:rFonts w:hint="eastAsia" w:ascii="Times New Roman" w:hAnsi="Times New Roman" w:eastAsia="仿宋_GB2312" w:cs="仿宋_GB2312"/>
          <w:spacing w:val="10"/>
          <w:sz w:val="32"/>
          <w:szCs w:val="32"/>
        </w:rPr>
        <w:t>万元，卫生健康支出</w:t>
      </w:r>
      <w:r>
        <w:rPr>
          <w:rFonts w:hint="eastAsia" w:ascii="Times New Roman" w:hAnsi="Times New Roman" w:eastAsia="仿宋_GB2312" w:cs="仿宋_GB2312"/>
          <w:spacing w:val="10"/>
          <w:sz w:val="32"/>
          <w:szCs w:val="32"/>
          <w:lang w:val="en-US" w:eastAsia="zh-CN"/>
        </w:rPr>
        <w:t>126.63</w:t>
      </w:r>
      <w:r>
        <w:rPr>
          <w:rFonts w:hint="eastAsia" w:ascii="Times New Roman" w:hAnsi="Times New Roman" w:eastAsia="仿宋_GB2312" w:cs="仿宋_GB2312"/>
          <w:spacing w:val="10"/>
          <w:sz w:val="32"/>
          <w:szCs w:val="32"/>
        </w:rPr>
        <w:t>万元，住房保障支出</w:t>
      </w:r>
      <w:r>
        <w:rPr>
          <w:rFonts w:hint="eastAsia" w:ascii="Times New Roman" w:hAnsi="Times New Roman" w:eastAsia="仿宋_GB2312" w:cs="仿宋_GB2312"/>
          <w:spacing w:val="10"/>
          <w:sz w:val="32"/>
          <w:szCs w:val="32"/>
          <w:lang w:val="en-US" w:eastAsia="zh-CN"/>
        </w:rPr>
        <w:t>161.99</w:t>
      </w:r>
      <w:r>
        <w:rPr>
          <w:rFonts w:hint="eastAsia" w:ascii="Times New Roman" w:hAnsi="Times New Roman" w:eastAsia="仿宋_GB2312" w:cs="仿宋_GB2312"/>
          <w:spacing w:val="10"/>
          <w:sz w:val="32"/>
          <w:szCs w:val="32"/>
        </w:rPr>
        <w:t>万元。</w:t>
      </w:r>
    </w:p>
    <w:p>
      <w:pPr>
        <w:numPr>
          <w:ilvl w:val="0"/>
          <w:numId w:val="2"/>
        </w:numPr>
        <w:spacing w:line="560" w:lineRule="exact"/>
        <w:ind w:firstLine="680" w:firstLineChars="200"/>
        <w:rPr>
          <w:rFonts w:hint="eastAsia"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政府性基金情况</w:t>
      </w:r>
    </w:p>
    <w:p>
      <w:pPr>
        <w:pStyle w:val="2"/>
        <w:numPr>
          <w:ilvl w:val="0"/>
          <w:numId w:val="0"/>
        </w:numPr>
        <w:ind w:leftChars="-200"/>
        <w:rPr>
          <w:rFonts w:hint="default" w:ascii="Times New Roman" w:hAnsi="Times New Roman" w:eastAsia="仿宋_GB2312" w:cs="仿宋_GB2312"/>
          <w:color w:val="000000"/>
          <w:spacing w:val="10"/>
          <w:sz w:val="32"/>
          <w:szCs w:val="32"/>
          <w:lang w:val="en-US" w:eastAsia="zh-CN" w:bidi="ar-SA"/>
        </w:rPr>
      </w:pPr>
      <w:r>
        <w:rPr>
          <w:rFonts w:hint="eastAsia"/>
          <w:lang w:val="en-US" w:eastAsia="zh-CN"/>
        </w:rPr>
        <w:t xml:space="preserve">                    </w:t>
      </w:r>
      <w:r>
        <w:rPr>
          <w:rFonts w:hint="eastAsia" w:ascii="Times New Roman" w:hAnsi="Times New Roman" w:eastAsia="仿宋_GB2312" w:cs="仿宋_GB2312"/>
          <w:color w:val="000000"/>
          <w:spacing w:val="10"/>
          <w:sz w:val="32"/>
          <w:szCs w:val="32"/>
          <w:lang w:val="en-US" w:eastAsia="zh-CN" w:bidi="ar-SA"/>
        </w:rPr>
        <w:t xml:space="preserve">     本部门2023年无政府性基金预算。</w:t>
      </w:r>
    </w:p>
    <w:p>
      <w:pPr>
        <w:spacing w:line="560" w:lineRule="exact"/>
        <w:ind w:firstLine="680" w:firstLineChars="200"/>
        <w:rPr>
          <w:rFonts w:hint="eastAsia" w:ascii="Times New Roman" w:hAnsi="Times New Roman" w:eastAsia="仿宋_GB2312" w:cs="仿宋_GB2312"/>
          <w:color w:val="000000"/>
          <w:spacing w:val="1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sz w:val="32"/>
          <w:szCs w:val="32"/>
          <w:lang w:val="en-US" w:eastAsia="zh-CN" w:bidi="ar-SA"/>
        </w:rPr>
      </w:pPr>
      <w:r>
        <w:rPr>
          <w:rFonts w:hint="eastAsia" w:ascii="Times New Roman" w:hAnsi="Times New Roman" w:eastAsia="仿宋_GB2312" w:cs="仿宋_GB2312"/>
          <w:color w:val="000000"/>
          <w:spacing w:val="10"/>
          <w:sz w:val="32"/>
          <w:szCs w:val="32"/>
          <w:lang w:val="en-US" w:eastAsia="zh-CN" w:bidi="ar-SA"/>
        </w:rPr>
        <w:t>（五）国有资本经营情况</w:t>
      </w:r>
    </w:p>
    <w:p>
      <w:pPr>
        <w:spacing w:line="576" w:lineRule="exact"/>
        <w:ind w:firstLine="420" w:firstLineChars="200"/>
        <w:rPr>
          <w:rFonts w:hint="default" w:ascii="Times New Roman" w:hAnsi="Times New Roman" w:eastAsia="仿宋_GB2312" w:cs="仿宋_GB2312"/>
          <w:spacing w:val="10"/>
          <w:sz w:val="32"/>
          <w:szCs w:val="32"/>
          <w:lang w:val="en-US" w:eastAsia="zh-CN"/>
        </w:rPr>
      </w:pPr>
      <w:r>
        <w:rPr>
          <w:rFonts w:hint="eastAsia" w:cs="Arial"/>
          <w:color w:val="000000"/>
          <w:sz w:val="21"/>
          <w:szCs w:val="21"/>
          <w:lang w:val="en-US" w:eastAsia="zh-CN" w:bidi="ar-SA"/>
        </w:rPr>
        <w:tab/>
      </w:r>
      <w:r>
        <w:rPr>
          <w:rFonts w:hint="eastAsia" w:ascii="Times New Roman" w:hAnsi="Times New Roman" w:eastAsia="仿宋_GB2312" w:cs="仿宋_GB2312"/>
          <w:spacing w:val="10"/>
          <w:sz w:val="32"/>
          <w:szCs w:val="32"/>
          <w:lang w:val="en-US" w:eastAsia="zh-CN"/>
        </w:rPr>
        <w:t>本部门2023年无国有资本经营预算。</w:t>
      </w:r>
    </w:p>
    <w:p>
      <w:pPr>
        <w:spacing w:line="576" w:lineRule="exact"/>
        <w:ind w:firstLine="680" w:firstLineChars="200"/>
        <w:rPr>
          <w:rFonts w:ascii="楷体_GB2312" w:hAnsi="楷体_GB2312" w:eastAsia="楷体_GB2312"/>
          <w:spacing w:val="10"/>
          <w:sz w:val="32"/>
          <w:szCs w:val="32"/>
        </w:rPr>
      </w:pPr>
      <w:r>
        <w:rPr>
          <w:rFonts w:hint="eastAsia" w:ascii="Times New Roman" w:hAnsi="Times New Roman" w:eastAsia="仿宋_GB2312" w:cs="仿宋_GB2312"/>
          <w:spacing w:val="10"/>
          <w:sz w:val="32"/>
          <w:szCs w:val="32"/>
        </w:rPr>
        <w:t>（六）机关运行经费</w:t>
      </w:r>
      <w:r>
        <w:rPr>
          <w:rFonts w:hint="eastAsia" w:ascii="楷体_GB2312" w:hAnsi="楷体_GB2312" w:eastAsia="楷体_GB2312" w:cs="楷体_GB2312"/>
          <w:spacing w:val="10"/>
          <w:sz w:val="32"/>
          <w:szCs w:val="32"/>
        </w:rPr>
        <w:t>等重要事项的说明</w:t>
      </w:r>
      <w:bookmarkStart w:id="0" w:name="_GoBack"/>
      <w:bookmarkEnd w:id="0"/>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年部门机关运行费预算</w:t>
      </w:r>
      <w:r>
        <w:rPr>
          <w:rFonts w:hint="eastAsia" w:ascii="Times New Roman" w:hAnsi="Times New Roman" w:eastAsia="仿宋_GB2312" w:cs="Times New Roman"/>
          <w:spacing w:val="10"/>
          <w:sz w:val="32"/>
          <w:szCs w:val="32"/>
          <w:lang w:val="en-US" w:eastAsia="zh-CN"/>
        </w:rPr>
        <w:t>450</w:t>
      </w:r>
      <w:r>
        <w:rPr>
          <w:rFonts w:hint="eastAsia" w:ascii="Times New Roman" w:hAnsi="Times New Roman" w:eastAsia="仿宋_GB2312" w:cs="仿宋_GB2312"/>
          <w:spacing w:val="10"/>
          <w:sz w:val="32"/>
          <w:szCs w:val="32"/>
        </w:rPr>
        <w:t>万元，比</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2</w:t>
      </w:r>
      <w:r>
        <w:rPr>
          <w:rFonts w:hint="eastAsia" w:ascii="Times New Roman" w:hAnsi="Times New Roman" w:eastAsia="仿宋_GB2312" w:cs="仿宋_GB2312"/>
          <w:spacing w:val="10"/>
          <w:sz w:val="32"/>
          <w:szCs w:val="32"/>
        </w:rPr>
        <w:t>年预算减少</w:t>
      </w:r>
      <w:r>
        <w:rPr>
          <w:rFonts w:hint="eastAsia" w:ascii="Times New Roman" w:hAnsi="Times New Roman" w:eastAsia="仿宋_GB2312" w:cs="Times New Roman"/>
          <w:spacing w:val="10"/>
          <w:sz w:val="32"/>
          <w:szCs w:val="32"/>
        </w:rPr>
        <w:t>5</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万元，下降</w:t>
      </w:r>
      <w:r>
        <w:rPr>
          <w:rFonts w:hint="eastAsia" w:ascii="Times New Roman" w:hAnsi="Times New Roman" w:eastAsia="仿宋_GB2312" w:cs="Times New Roman"/>
          <w:spacing w:val="10"/>
          <w:sz w:val="32"/>
          <w:szCs w:val="32"/>
        </w:rPr>
        <w:t>9.82</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rPr>
        <w:t>，主要原因是厉行节约</w:t>
      </w:r>
      <w:r>
        <w:rPr>
          <w:rFonts w:hint="eastAsia" w:ascii="Times New Roman" w:hAnsi="Times New Roman" w:eastAsia="仿宋_GB2312" w:cs="仿宋_GB2312"/>
          <w:spacing w:val="10"/>
          <w:sz w:val="32"/>
          <w:szCs w:val="32"/>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年部门所属各单位政府采购总额</w:t>
      </w:r>
      <w:r>
        <w:rPr>
          <w:rFonts w:hint="eastAsia" w:ascii="Times New Roman" w:hAnsi="Times New Roman" w:eastAsia="仿宋_GB2312" w:cs="Times New Roman"/>
          <w:spacing w:val="10"/>
          <w:sz w:val="32"/>
          <w:szCs w:val="32"/>
          <w:lang w:val="en-US" w:eastAsia="zh-CN"/>
        </w:rPr>
        <w:t>78.5</w:t>
      </w:r>
      <w:r>
        <w:rPr>
          <w:rFonts w:hint="eastAsia" w:ascii="Times New Roman" w:hAnsi="Times New Roman" w:eastAsia="仿宋_GB2312" w:cs="仿宋_GB2312"/>
          <w:spacing w:val="10"/>
          <w:sz w:val="32"/>
          <w:szCs w:val="32"/>
        </w:rPr>
        <w:t>万元，其中：政府采购货物预算</w:t>
      </w:r>
      <w:r>
        <w:rPr>
          <w:rFonts w:hint="eastAsia" w:ascii="Times New Roman" w:hAnsi="Times New Roman" w:eastAsia="仿宋_GB2312" w:cs="Times New Roman"/>
          <w:spacing w:val="10"/>
          <w:sz w:val="32"/>
          <w:szCs w:val="32"/>
          <w:lang w:val="en-US" w:eastAsia="zh-CN"/>
        </w:rPr>
        <w:t>78.5</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截至</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2</w:t>
      </w:r>
      <w:r>
        <w:rPr>
          <w:rFonts w:hint="eastAsia" w:ascii="Times New Roman" w:hAnsi="Times New Roman" w:eastAsia="仿宋_GB2312" w:cs="仿宋_GB2312"/>
          <w:spacing w:val="10"/>
          <w:sz w:val="32"/>
          <w:szCs w:val="32"/>
        </w:rPr>
        <w:t>年</w:t>
      </w:r>
      <w:r>
        <w:rPr>
          <w:rFonts w:hint="eastAsia" w:ascii="Times New Roman" w:hAnsi="Times New Roman" w:eastAsia="仿宋_GB2312" w:cs="Times New Roman"/>
          <w:spacing w:val="10"/>
          <w:sz w:val="32"/>
          <w:szCs w:val="32"/>
          <w:lang w:val="en-US" w:eastAsia="zh-CN"/>
        </w:rPr>
        <w:t>12</w:t>
      </w:r>
      <w:r>
        <w:rPr>
          <w:rFonts w:hint="eastAsia" w:ascii="Times New Roman" w:hAnsi="Times New Roman" w:eastAsia="仿宋_GB2312" w:cs="仿宋_GB2312"/>
          <w:spacing w:val="10"/>
          <w:sz w:val="32"/>
          <w:szCs w:val="32"/>
        </w:rPr>
        <w:t>月</w:t>
      </w:r>
      <w:r>
        <w:rPr>
          <w:rFonts w:ascii="Times New Roman" w:hAnsi="Times New Roman" w:eastAsia="仿宋_GB2312" w:cs="Times New Roman"/>
          <w:spacing w:val="10"/>
          <w:sz w:val="32"/>
          <w:szCs w:val="32"/>
        </w:rPr>
        <w:t>31</w:t>
      </w:r>
      <w:r>
        <w:rPr>
          <w:rFonts w:hint="eastAsia" w:ascii="Times New Roman" w:hAnsi="Times New Roman" w:eastAsia="仿宋_GB2312" w:cs="仿宋_GB2312"/>
          <w:spacing w:val="10"/>
          <w:sz w:val="32"/>
          <w:szCs w:val="32"/>
        </w:rPr>
        <w:t>日，部门共有车辆</w:t>
      </w:r>
      <w:r>
        <w:rPr>
          <w:rFonts w:hint="eastAsia"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辆，其中，一般公务用车</w:t>
      </w:r>
      <w:r>
        <w:rPr>
          <w:rFonts w:hint="eastAsia"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辆。</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（九）绩效项目情况说明</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Times New Roman"/>
          <w:spacing w:val="10"/>
          <w:sz w:val="32"/>
          <w:szCs w:val="32"/>
        </w:rPr>
        <w:t>网络运营及服务外包</w:t>
      </w:r>
      <w:r>
        <w:rPr>
          <w:rFonts w:hint="eastAsia" w:ascii="Times New Roman" w:hAnsi="Times New Roman" w:eastAsia="仿宋_GB2312" w:cs="仿宋_GB2312"/>
          <w:spacing w:val="10"/>
          <w:sz w:val="32"/>
          <w:szCs w:val="32"/>
        </w:rPr>
        <w:t>项目</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仿宋_GB2312"/>
          <w:spacing w:val="10"/>
          <w:sz w:val="32"/>
          <w:szCs w:val="32"/>
        </w:rPr>
        <w:t>）项目概述   财政业务系统软硬件运行及维护</w:t>
      </w:r>
    </w:p>
    <w:p>
      <w:pPr>
        <w:tabs>
          <w:tab w:val="left" w:pos="3176"/>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）立项依据   工作需求</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3) </w:t>
      </w:r>
      <w:r>
        <w:rPr>
          <w:rFonts w:hint="eastAsia" w:ascii="Times New Roman" w:hAnsi="Times New Roman" w:eastAsia="仿宋_GB2312" w:cs="仿宋_GB2312"/>
          <w:spacing w:val="10"/>
          <w:sz w:val="32"/>
          <w:szCs w:val="32"/>
        </w:rPr>
        <w:t>实施主体    新建区财政局</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4</w:t>
      </w:r>
      <w:r>
        <w:rPr>
          <w:rFonts w:hint="eastAsia" w:ascii="Times New Roman" w:hAnsi="Times New Roman" w:eastAsia="仿宋_GB2312" w:cs="仿宋_GB2312"/>
          <w:spacing w:val="10"/>
          <w:sz w:val="32"/>
          <w:szCs w:val="32"/>
        </w:rPr>
        <w:t>）实施方案   信息系统日常运营及维修保养</w:t>
      </w:r>
    </w:p>
    <w:p>
      <w:pPr>
        <w:tabs>
          <w:tab w:val="left" w:pos="307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5) </w:t>
      </w:r>
      <w:r>
        <w:rPr>
          <w:rFonts w:hint="eastAsia" w:ascii="Times New Roman" w:hAnsi="Times New Roman" w:eastAsia="仿宋_GB2312" w:cs="仿宋_GB2312"/>
          <w:spacing w:val="10"/>
          <w:sz w:val="32"/>
          <w:szCs w:val="32"/>
        </w:rPr>
        <w:t>实施周期</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-01-01--202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-12-31</w:t>
      </w:r>
    </w:p>
    <w:p>
      <w:pPr>
        <w:tabs>
          <w:tab w:val="left" w:pos="391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6) </w:t>
      </w:r>
      <w:r>
        <w:rPr>
          <w:rFonts w:hint="eastAsia" w:ascii="Times New Roman" w:hAnsi="Times New Roman" w:eastAsia="仿宋_GB2312" w:cs="仿宋_GB2312"/>
          <w:spacing w:val="10"/>
          <w:sz w:val="32"/>
          <w:szCs w:val="32"/>
        </w:rPr>
        <w:t>年度预算安排</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50万元</w:t>
      </w:r>
    </w:p>
    <w:p>
      <w:pPr>
        <w:tabs>
          <w:tab w:val="left" w:pos="3986"/>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7) </w:t>
      </w:r>
      <w:r>
        <w:rPr>
          <w:rFonts w:hint="eastAsia" w:ascii="Times New Roman" w:hAnsi="Times New Roman" w:eastAsia="仿宋_GB2312" w:cs="仿宋_GB2312"/>
          <w:spacing w:val="10"/>
          <w:sz w:val="32"/>
          <w:szCs w:val="32"/>
        </w:rPr>
        <w:t>绩效目标和指标</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保证财政各业务系统软硬件运行</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年“三公”经费预算情况说明</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年新建区财政局</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经费一般公共预算安排万元。其中：</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公务接待费</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万元，比上年增（减）</w:t>
      </w:r>
      <w:r>
        <w:rPr>
          <w:rFonts w:hint="eastAsia" w:ascii="Times New Roman" w:hAnsi="Times New Roman" w:eastAsia="仿宋_GB2312" w:cs="Times New Roman"/>
          <w:spacing w:val="10"/>
          <w:sz w:val="32"/>
          <w:szCs w:val="32"/>
        </w:rPr>
        <w:t>0</w:t>
      </w:r>
      <w:r>
        <w:rPr>
          <w:rFonts w:hint="eastAsia" w:ascii="Times New Roman" w:hAnsi="Times New Roman" w:eastAsia="仿宋_GB2312" w:cs="仿宋_GB2312"/>
          <w:spacing w:val="10"/>
          <w:sz w:val="32"/>
          <w:szCs w:val="32"/>
        </w:rPr>
        <w:t>万元，主要原因是：</w:t>
      </w:r>
      <w:r>
        <w:rPr>
          <w:rFonts w:hint="eastAsia" w:ascii="Times New Roman" w:hAnsi="Times New Roman" w:eastAsia="仿宋_GB2312" w:cs="Times New Roman"/>
          <w:spacing w:val="10"/>
          <w:sz w:val="32"/>
          <w:szCs w:val="32"/>
        </w:rPr>
        <w:t>厉行节约</w:t>
      </w:r>
      <w:r>
        <w:rPr>
          <w:rFonts w:hint="eastAsia" w:ascii="Times New Roman" w:hAnsi="Times New Roman" w:eastAsia="仿宋_GB2312" w:cs="仿宋_GB2312"/>
          <w:spacing w:val="10"/>
          <w:sz w:val="32"/>
          <w:szCs w:val="32"/>
        </w:rPr>
        <w:t>。</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公务用车运行维护费</w:t>
      </w:r>
      <w:r>
        <w:rPr>
          <w:rFonts w:hint="eastAsia" w:ascii="Times New Roman" w:hAnsi="Times New Roman" w:eastAsia="仿宋_GB2312" w:cs="Times New Roman"/>
          <w:spacing w:val="10"/>
          <w:sz w:val="32"/>
          <w:szCs w:val="32"/>
          <w:lang w:val="en-US" w:eastAsia="zh-CN"/>
        </w:rPr>
        <w:t>10</w:t>
      </w:r>
      <w:r>
        <w:rPr>
          <w:rFonts w:hint="eastAsia" w:ascii="Times New Roman" w:hAnsi="Times New Roman" w:eastAsia="仿宋_GB2312" w:cs="仿宋_GB2312"/>
          <w:spacing w:val="10"/>
          <w:sz w:val="32"/>
          <w:szCs w:val="32"/>
        </w:rPr>
        <w:t>万元，比上年减</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rPr>
        <w:t>0万元，主要原因是：</w:t>
      </w:r>
      <w:r>
        <w:rPr>
          <w:rFonts w:hint="eastAsia" w:ascii="Times New Roman" w:hAnsi="Times New Roman" w:eastAsia="仿宋_GB2312" w:cs="Times New Roman"/>
          <w:spacing w:val="10"/>
          <w:sz w:val="32"/>
          <w:szCs w:val="32"/>
        </w:rPr>
        <w:t>厉行节约</w:t>
      </w:r>
      <w:r>
        <w:rPr>
          <w:rFonts w:hint="eastAsia" w:ascii="Times New Roman" w:hAnsi="Times New Roman" w:eastAsia="仿宋_GB2312" w:cs="仿宋_GB2312"/>
          <w:spacing w:val="10"/>
          <w:sz w:val="32"/>
          <w:szCs w:val="32"/>
        </w:rPr>
        <w:t>。</w:t>
      </w:r>
    </w:p>
    <w:p>
      <w:pPr>
        <w:spacing w:line="560" w:lineRule="exact"/>
        <w:jc w:val="center"/>
        <w:rPr>
          <w:rFonts w:ascii="Times New Roman" w:hAnsi="Times New Roman" w:eastAsia="仿宋_GB2312"/>
          <w:spacing w:val="10"/>
          <w:sz w:val="32"/>
          <w:szCs w:val="32"/>
        </w:rPr>
      </w:pPr>
    </w:p>
    <w:p>
      <w:pPr>
        <w:spacing w:line="560" w:lineRule="exact"/>
        <w:ind w:firstLine="680" w:firstLineChars="200"/>
        <w:jc w:val="both"/>
        <w:rPr>
          <w:rFonts w:ascii="黑体" w:hAnsi="黑体" w:eastAsia="黑体"/>
          <w:spacing w:val="10"/>
          <w:sz w:val="32"/>
          <w:szCs w:val="32"/>
        </w:rPr>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（一）财政拨款：</w:t>
      </w:r>
      <w:r>
        <w:rPr>
          <w:rFonts w:hint="eastAsia" w:ascii="Times New Roman" w:hAnsi="Times New Roman" w:eastAsia="仿宋_GB2312" w:cs="仿宋_GB2312"/>
          <w:spacing w:val="10"/>
          <w:sz w:val="32"/>
          <w:szCs w:val="32"/>
        </w:rPr>
        <w:t>指省级财政当年拨付的资金。</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（二）教育收费资金收入：</w:t>
      </w:r>
      <w:r>
        <w:rPr>
          <w:rFonts w:hint="eastAsia" w:ascii="Times New Roman" w:hAnsi="Times New Roman" w:eastAsia="仿宋_GB2312" w:cs="仿宋_GB2312"/>
          <w:spacing w:val="10"/>
          <w:sz w:val="32"/>
          <w:szCs w:val="32"/>
        </w:rPr>
        <w:t>反映实行专项管理的高中以上学费、住宿费，高校委托培养费，函大、电大、夜大及短训班培训费等教育收费取得的收入。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（三）事业收入：</w:t>
      </w:r>
      <w:r>
        <w:rPr>
          <w:rFonts w:hint="eastAsia" w:ascii="Times New Roman" w:hAnsi="Times New Roman" w:eastAsia="仿宋_GB2312" w:cs="仿宋_GB2312"/>
          <w:spacing w:val="10"/>
          <w:sz w:val="32"/>
          <w:szCs w:val="32"/>
        </w:rPr>
        <w:t>指事业单位开展专业业务活动及辅助活动取得的收入。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（四）事业单位经营收入：</w:t>
      </w:r>
      <w:r>
        <w:rPr>
          <w:rFonts w:hint="eastAsia" w:ascii="Times New Roman" w:hAnsi="Times New Roman" w:eastAsia="仿宋_GB2312" w:cs="仿宋_GB2312"/>
          <w:spacing w:val="10"/>
          <w:sz w:val="32"/>
          <w:szCs w:val="32"/>
        </w:rPr>
        <w:t>指事业单位在专业业务活动及辅助活动之外开展非独立核算经营活动取得的收入。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（五）附属单位上缴收入：</w:t>
      </w:r>
      <w:r>
        <w:rPr>
          <w:rFonts w:hint="eastAsia" w:ascii="Times New Roman" w:hAnsi="Times New Roman" w:eastAsia="仿宋_GB2312" w:cs="仿宋_GB2312"/>
          <w:spacing w:val="10"/>
          <w:sz w:val="32"/>
          <w:szCs w:val="32"/>
        </w:rPr>
        <w:t>反映事业单位附属的独立核算单位按规定标准或比例缴纳的各项收入。包括附属的事业单位上缴的收入和附属的企业上缴的利润等。</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（六）上级补助收入：</w:t>
      </w:r>
      <w:r>
        <w:rPr>
          <w:rFonts w:hint="eastAsia" w:ascii="Times New Roman" w:hAnsi="Times New Roman" w:eastAsia="仿宋_GB2312" w:cs="仿宋_GB2312"/>
          <w:spacing w:val="10"/>
          <w:sz w:val="32"/>
          <w:szCs w:val="32"/>
        </w:rPr>
        <w:t>反映事业单位从主管部门和上级单位取得的非财政补助收入。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（七）其他收入：</w:t>
      </w:r>
      <w:r>
        <w:rPr>
          <w:rFonts w:hint="eastAsia" w:ascii="Times New Roman" w:hAnsi="Times New Roman" w:eastAsia="仿宋_GB2312" w:cs="仿宋_GB2312"/>
          <w:spacing w:val="10"/>
          <w:sz w:val="32"/>
          <w:szCs w:val="32"/>
        </w:rPr>
        <w:t>指除财政拨款、事业收入、事业单位经营收入等以外的各项收入。</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ind w:firstLine="680" w:firstLineChars="200"/>
        <w:rPr>
          <w:rFonts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行政运行：反映行政单位（包括实行公务员管理的事业单位）的基本支出。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一般行政管理事务：反映行政单位（包括实行公务员管理的事业单位）未单独设置项级科目的其他项目支出。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其他财政事业支出：反映除上述项目以外其他财政事务方面的支出。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机关事业单位基本养老保险缴费支出：反映机关事业单位实施养老保险制度由单位缴纳的基本养老保险费支出。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行政单位医疗：反映财政部门集中安排的行政单位基本医疗保险缴费经费，未参加医疗保险的行政单位的公费医疗经费，按国家规定享受离休人员、红军老战士待遇人员的经费。</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住房公积金：反映行政事业单位按人力资源和社会保障部财政部规定的基本工资和津贴补贴经费及规定比例为职工缴纳的住房公积金。</w:t>
      </w:r>
    </w:p>
    <w:p>
      <w:pPr>
        <w:spacing w:before="103" w:line="206" w:lineRule="auto"/>
        <w:ind w:firstLine="1792" w:firstLineChars="400"/>
        <w:rPr>
          <w:rFonts w:ascii="宋体" w:hAnsi="宋体" w:cs="宋体"/>
          <w:spacing w:val="4"/>
          <w:sz w:val="44"/>
          <w:szCs w:val="4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before="103" w:line="206" w:lineRule="auto"/>
        <w:ind w:firstLine="1792" w:firstLineChars="400"/>
        <w:rPr>
          <w:rFonts w:ascii="宋体" w:hAnsi="宋体"/>
          <w:spacing w:val="4"/>
          <w:sz w:val="44"/>
          <w:szCs w:val="44"/>
        </w:rPr>
      </w:pPr>
      <w:r>
        <w:rPr>
          <w:rFonts w:ascii="宋体" w:hAnsi="宋体" w:cs="宋体"/>
          <w:spacing w:val="4"/>
          <w:sz w:val="44"/>
          <w:szCs w:val="44"/>
        </w:rPr>
        <w:t>202</w:t>
      </w:r>
      <w:r>
        <w:rPr>
          <w:rFonts w:hint="eastAsia" w:ascii="宋体" w:hAnsi="宋体" w:cs="宋体"/>
          <w:spacing w:val="4"/>
          <w:sz w:val="44"/>
          <w:szCs w:val="44"/>
          <w:lang w:val="en-US" w:eastAsia="zh-CN"/>
        </w:rPr>
        <w:t>3</w:t>
      </w:r>
      <w:r>
        <w:rPr>
          <w:rFonts w:hint="eastAsia" w:ascii="宋体" w:hAnsi="宋体" w:cs="宋体"/>
          <w:spacing w:val="4"/>
          <w:sz w:val="44"/>
          <w:szCs w:val="44"/>
        </w:rPr>
        <w:t>年部门整体支出绩效目标表</w:t>
      </w:r>
    </w:p>
    <w:p>
      <w:pPr>
        <w:spacing w:line="136" w:lineRule="exact"/>
      </w:pPr>
    </w:p>
    <w:tbl>
      <w:tblPr>
        <w:tblStyle w:val="5"/>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12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7"/>
            <w:tcBorders>
              <w:top w:val="single" w:color="000000" w:sz="2" w:space="0"/>
              <w:bottom w:val="single" w:color="000000" w:sz="2" w:space="0"/>
            </w:tcBorders>
            <w:vAlign w:val="center"/>
          </w:tcPr>
          <w:p>
            <w:r>
              <w:t>新建区财政局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毛小荣</w:t>
            </w:r>
          </w:p>
        </w:tc>
        <w:tc>
          <w:tcPr>
            <w:tcW w:w="1129" w:type="dxa"/>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vAlign w:val="center"/>
          </w:tcPr>
          <w:p>
            <w:pPr>
              <w:jc w:val="center"/>
            </w:pPr>
            <w:r>
              <w:rPr>
                <w:rFonts w:hint="eastAsia"/>
              </w:rPr>
              <w:t>0791-83703333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vAlign w:val="center"/>
          </w:tcPr>
          <w:p>
            <w:pPr>
              <w:rPr>
                <w:rFonts w:hint="eastAsia" w:eastAsia="宋体"/>
                <w:lang w:eastAsia="zh-CN"/>
              </w:rPr>
            </w:pPr>
            <w:r>
              <w:rPr>
                <w:rFonts w:hint="eastAsia"/>
                <w:lang w:val="en-US" w:eastAsia="zh-CN"/>
              </w:rPr>
              <w:t>财政</w:t>
            </w:r>
          </w:p>
        </w:tc>
        <w:tc>
          <w:tcPr>
            <w:tcW w:w="2323" w:type="dxa"/>
            <w:gridSpan w:val="2"/>
            <w:tcBorders>
              <w:top w:val="single" w:color="000000" w:sz="2" w:space="0"/>
              <w:bottom w:val="single" w:color="000000" w:sz="2" w:space="0"/>
            </w:tcBorders>
            <w:vAlign w:val="center"/>
          </w:tcPr>
          <w:p>
            <w:pPr>
              <w:spacing w:before="186" w:line="220" w:lineRule="auto"/>
              <w:ind w:firstLine="525"/>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vAlign w:val="center"/>
          </w:tcPr>
          <w:p>
            <w:r>
              <w:rPr>
                <w:rFonts w:hint="eastAsia"/>
              </w:rPr>
              <w:t>15</w:t>
            </w:r>
          </w:p>
        </w:tc>
        <w:tc>
          <w:tcPr>
            <w:tcW w:w="2323" w:type="dxa"/>
            <w:gridSpan w:val="2"/>
            <w:tcBorders>
              <w:top w:val="single" w:color="000000" w:sz="2" w:space="0"/>
              <w:bottom w:val="single" w:color="000000" w:sz="2" w:space="0"/>
            </w:tcBorders>
            <w:vAlign w:val="center"/>
          </w:tcPr>
          <w:p>
            <w:pPr>
              <w:spacing w:before="186" w:line="219" w:lineRule="auto"/>
              <w:ind w:firstLine="636"/>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vAlign w:val="center"/>
          </w:tcPr>
          <w:p>
            <w:r>
              <w:rPr>
                <w:rFonts w:hint="eastAsia"/>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vAlign w:val="center"/>
          </w:tcPr>
          <w:p>
            <w:r>
              <w:rPr>
                <w:rFonts w:hint="eastAsia"/>
              </w:rPr>
              <w:t>129</w:t>
            </w:r>
          </w:p>
        </w:tc>
        <w:tc>
          <w:tcPr>
            <w:tcW w:w="2323" w:type="dxa"/>
            <w:gridSpan w:val="2"/>
            <w:tcBorders>
              <w:top w:val="single" w:color="000000" w:sz="2" w:space="0"/>
              <w:bottom w:val="single" w:color="000000" w:sz="2" w:space="0"/>
            </w:tcBorders>
            <w:vAlign w:val="center"/>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vAlign w:val="center"/>
          </w:tcPr>
          <w:p>
            <w:r>
              <w:rPr>
                <w:rFonts w:hint="eastAsia"/>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vAlign w:val="center"/>
          </w:tcPr>
          <w:p>
            <w:r>
              <w:rPr>
                <w:rFonts w:hint="eastAsia"/>
              </w:rPr>
              <w:t>78</w:t>
            </w:r>
          </w:p>
        </w:tc>
        <w:tc>
          <w:tcPr>
            <w:tcW w:w="2323" w:type="dxa"/>
            <w:gridSpan w:val="2"/>
            <w:tcBorders>
              <w:top w:val="single" w:color="000000" w:sz="2" w:space="0"/>
              <w:bottom w:val="single" w:color="000000" w:sz="2" w:space="0"/>
            </w:tcBorders>
            <w:vAlign w:val="center"/>
          </w:tcPr>
          <w:p>
            <w:pPr>
              <w:spacing w:before="186" w:line="219" w:lineRule="auto"/>
              <w:ind w:firstLine="736"/>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vAlign w:val="center"/>
          </w:tcPr>
          <w:p>
            <w:pPr>
              <w:jc w:val="center"/>
            </w:pPr>
            <w:r>
              <w:rPr>
                <w:rFonts w:hint="eastAsia"/>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vAlign w:val="center"/>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2927.02</w:t>
            </w:r>
          </w:p>
        </w:tc>
        <w:tc>
          <w:tcPr>
            <w:tcW w:w="2323" w:type="dxa"/>
            <w:gridSpan w:val="2"/>
            <w:tcBorders>
              <w:top w:val="single" w:color="000000" w:sz="2" w:space="0"/>
              <w:bottom w:val="single" w:color="000000" w:sz="2" w:space="0"/>
            </w:tcBorders>
            <w:vAlign w:val="center"/>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2627.02</w:t>
            </w:r>
          </w:p>
        </w:tc>
        <w:tc>
          <w:tcPr>
            <w:tcW w:w="2323" w:type="dxa"/>
            <w:gridSpan w:val="2"/>
            <w:tcBorders>
              <w:top w:val="single" w:color="000000" w:sz="2" w:space="0"/>
              <w:bottom w:val="single" w:color="000000" w:sz="2" w:space="0"/>
            </w:tcBorders>
            <w:vAlign w:val="center"/>
          </w:tcPr>
          <w:p>
            <w:pPr>
              <w:spacing w:before="136" w:line="220" w:lineRule="auto"/>
              <w:ind w:firstLine="736"/>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2927.02</w:t>
            </w:r>
          </w:p>
        </w:tc>
        <w:tc>
          <w:tcPr>
            <w:tcW w:w="2323" w:type="dxa"/>
            <w:gridSpan w:val="2"/>
            <w:tcBorders>
              <w:top w:val="single" w:color="000000" w:sz="2" w:space="0"/>
              <w:bottom w:val="single" w:color="000000" w:sz="2" w:space="0"/>
            </w:tcBorders>
            <w:vAlign w:val="center"/>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2177.02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300</w:t>
            </w:r>
          </w:p>
        </w:tc>
        <w:tc>
          <w:tcPr>
            <w:tcW w:w="2323" w:type="dxa"/>
            <w:gridSpan w:val="2"/>
            <w:tcBorders>
              <w:top w:val="single" w:color="000000" w:sz="2" w:space="0"/>
              <w:bottom w:val="single" w:color="000000" w:sz="2" w:space="0"/>
            </w:tcBorders>
            <w:vAlign w:val="center"/>
          </w:tcPr>
          <w:p>
            <w:pPr>
              <w:spacing w:before="186" w:line="220" w:lineRule="auto"/>
              <w:ind w:firstLine="736"/>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vAlign w:val="center"/>
          </w:tcPr>
          <w:p>
            <w:pPr>
              <w:rPr>
                <w:rFonts w:hint="default"/>
                <w:lang w:val="en-US"/>
              </w:rPr>
            </w:pPr>
            <w:r>
              <w:rPr>
                <w:rFonts w:hint="eastAsia"/>
                <w:lang w:val="en-US" w:eastAsia="zh-CN"/>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8"/>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298"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67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298" w:type="dxa"/>
            <w:tcBorders>
              <w:top w:val="single" w:color="000000" w:sz="2" w:space="0"/>
              <w:bottom w:val="single" w:color="000000" w:sz="2" w:space="0"/>
            </w:tcBorders>
          </w:tcPr>
          <w:p/>
          <w:p>
            <w:pPr>
              <w:jc w:val="center"/>
            </w:pPr>
            <w:r>
              <w:rPr>
                <w:rFonts w:hint="eastAsia"/>
              </w:rPr>
              <w:t>服务对象数</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298" w:type="dxa"/>
            <w:tcBorders>
              <w:top w:val="single" w:color="000000" w:sz="2" w:space="0"/>
              <w:bottom w:val="single" w:color="000000" w:sz="2" w:space="0"/>
            </w:tcBorders>
          </w:tcPr>
          <w:p/>
          <w:p>
            <w:pPr>
              <w:jc w:val="center"/>
            </w:pPr>
            <w:r>
              <w:rPr>
                <w:rFonts w:hint="eastAsia"/>
              </w:rPr>
              <w:t>资金拨付准确率</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298" w:type="dxa"/>
            <w:tcBorders>
              <w:top w:val="single" w:color="000000" w:sz="2" w:space="0"/>
              <w:bottom w:val="single" w:color="000000" w:sz="2" w:space="0"/>
            </w:tcBorders>
          </w:tcPr>
          <w:p/>
          <w:p>
            <w:pPr>
              <w:jc w:val="center"/>
            </w:pPr>
            <w:r>
              <w:rPr>
                <w:rFonts w:hint="eastAsia"/>
              </w:rPr>
              <w:t>工作均按计划完成</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298" w:type="dxa"/>
            <w:tcBorders>
              <w:top w:val="single" w:color="000000" w:sz="2" w:space="0"/>
              <w:bottom w:val="single" w:color="000000" w:sz="2" w:space="0"/>
            </w:tcBorders>
          </w:tcPr>
          <w:p/>
          <w:p>
            <w:pPr>
              <w:jc w:val="center"/>
            </w:pPr>
            <w:r>
              <w:rPr>
                <w:rFonts w:hint="eastAsia"/>
              </w:rPr>
              <w:t>加强对财政资金监管</w:t>
            </w:r>
          </w:p>
        </w:tc>
        <w:tc>
          <w:tcPr>
            <w:tcW w:w="3671" w:type="dxa"/>
            <w:gridSpan w:val="3"/>
            <w:tcBorders>
              <w:top w:val="single" w:color="000000" w:sz="2" w:space="0"/>
              <w:bottom w:val="single" w:color="000000" w:sz="2" w:space="0"/>
            </w:tcBorders>
          </w:tcPr>
          <w:p/>
          <w:p>
            <w:pPr>
              <w:jc w:val="center"/>
            </w:pPr>
            <w:r>
              <w:rPr>
                <w:rFonts w:hint="eastAsia"/>
              </w:rPr>
              <w:t>充分发挥财政资金效益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298" w:type="dxa"/>
            <w:tcBorders>
              <w:top w:val="single" w:color="000000" w:sz="2" w:space="0"/>
              <w:bottom w:val="single" w:color="000000" w:sz="2" w:space="0"/>
            </w:tcBorders>
          </w:tcPr>
          <w:p/>
          <w:p>
            <w:pPr>
              <w:jc w:val="center"/>
            </w:pPr>
            <w:r>
              <w:rPr>
                <w:rFonts w:hint="eastAsia"/>
              </w:rPr>
              <w:t>服务对象满意度</w:t>
            </w:r>
          </w:p>
        </w:tc>
        <w:tc>
          <w:tcPr>
            <w:tcW w:w="3671" w:type="dxa"/>
            <w:gridSpan w:val="3"/>
            <w:tcBorders>
              <w:top w:val="single" w:color="000000" w:sz="2" w:space="0"/>
              <w:bottom w:val="single" w:color="000000" w:sz="2" w:space="0"/>
            </w:tcBorders>
          </w:tcPr>
          <w:p/>
          <w:p>
            <w:pPr>
              <w:jc w:val="center"/>
            </w:pPr>
            <w:r>
              <w:rPr>
                <w:rFonts w:hint="eastAsia"/>
              </w:rPr>
              <w:t>100%</w:t>
            </w:r>
          </w:p>
        </w:tc>
      </w:tr>
    </w:tbl>
    <w:p>
      <w:pPr>
        <w:pStyle w:val="2"/>
      </w:pPr>
    </w:p>
    <w:p>
      <w:pPr>
        <w:pStyle w:val="2"/>
      </w:pPr>
    </w:p>
    <w:p>
      <w:pPr>
        <w:pStyle w:val="2"/>
      </w:pPr>
    </w:p>
    <w:p>
      <w:pPr>
        <w:spacing w:before="103" w:line="206" w:lineRule="auto"/>
        <w:ind w:firstLine="2912" w:firstLineChars="650"/>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5"/>
        <w:tblW w:w="954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1930"/>
        <w:gridCol w:w="2247"/>
        <w:gridCol w:w="1692"/>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356"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190" w:type="dxa"/>
            <w:gridSpan w:val="3"/>
            <w:tcBorders>
              <w:top w:val="single" w:color="000000" w:sz="2" w:space="0"/>
              <w:bottom w:val="single" w:color="000000" w:sz="2" w:space="0"/>
            </w:tcBorders>
            <w:vAlign w:val="center"/>
          </w:tcPr>
          <w:p>
            <w:pPr>
              <w:jc w:val="both"/>
            </w:pPr>
          </w:p>
          <w:p>
            <w:pPr>
              <w:ind w:firstLine="233"/>
              <w:jc w:val="both"/>
            </w:pPr>
            <w:r>
              <w:rPr>
                <w:rFonts w:hint="eastAsia"/>
              </w:rPr>
              <w:t>网络系统运营及服务外包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56"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47" w:type="dxa"/>
            <w:tcBorders>
              <w:top w:val="single" w:color="000000" w:sz="2" w:space="0"/>
              <w:bottom w:val="single" w:color="000000" w:sz="2" w:space="0"/>
            </w:tcBorders>
            <w:vAlign w:val="center"/>
          </w:tcPr>
          <w:p>
            <w:pPr>
              <w:jc w:val="both"/>
            </w:pPr>
            <w:r>
              <w:rPr>
                <w:rFonts w:hint="eastAsia"/>
              </w:rPr>
              <w:t>新建区财政局206001</w:t>
            </w:r>
          </w:p>
        </w:tc>
        <w:tc>
          <w:tcPr>
            <w:tcW w:w="1692"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51" w:type="dxa"/>
            <w:tcBorders>
              <w:top w:val="single" w:color="000000" w:sz="2" w:space="0"/>
              <w:bottom w:val="single" w:color="000000" w:sz="2" w:space="0"/>
            </w:tcBorders>
            <w:vAlign w:val="center"/>
          </w:tcPr>
          <w:p>
            <w:pPr>
              <w:jc w:val="both"/>
            </w:pPr>
            <w:r>
              <w:rPr>
                <w:rFonts w:hint="eastAsia"/>
              </w:rPr>
              <w:t>新建区财政局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47" w:type="dxa"/>
            <w:vMerge w:val="restart"/>
            <w:tcBorders>
              <w:top w:val="single" w:color="000000" w:sz="2" w:space="0"/>
              <w:bottom w:val="nil"/>
            </w:tcBorders>
          </w:tcPr>
          <w:p/>
          <w:p>
            <w:pPr>
              <w:jc w:val="center"/>
            </w:pPr>
            <w:r>
              <w:rPr>
                <w:rFonts w:hint="eastAsia"/>
              </w:rPr>
              <w:t>当年项目</w:t>
            </w:r>
          </w:p>
        </w:tc>
        <w:tc>
          <w:tcPr>
            <w:tcW w:w="1692"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continue"/>
            <w:tcBorders>
              <w:top w:val="nil"/>
              <w:bottom w:val="single" w:color="000000" w:sz="2" w:space="0"/>
            </w:tcBorders>
          </w:tcPr>
          <w:p/>
        </w:tc>
        <w:tc>
          <w:tcPr>
            <w:tcW w:w="2247" w:type="dxa"/>
            <w:vMerge w:val="continue"/>
            <w:tcBorders>
              <w:top w:val="nil"/>
              <w:bottom w:val="single" w:color="000000" w:sz="2" w:space="0"/>
            </w:tcBorders>
          </w:tcPr>
          <w:p/>
        </w:tc>
        <w:tc>
          <w:tcPr>
            <w:tcW w:w="1692" w:type="dxa"/>
            <w:vMerge w:val="continue"/>
            <w:tcBorders>
              <w:top w:val="nil"/>
              <w:bottom w:val="single" w:color="000000" w:sz="2" w:space="0"/>
            </w:tcBorders>
          </w:tcP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356"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4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43" w:type="dxa"/>
            <w:gridSpan w:val="2"/>
            <w:tcBorders>
              <w:top w:val="single" w:color="000000" w:sz="2" w:space="0"/>
              <w:bottom w:val="single" w:color="000000" w:sz="2" w:space="0"/>
            </w:tcBorders>
          </w:tcPr>
          <w:p>
            <w:pPr>
              <w:jc w:val="center"/>
            </w:pPr>
          </w:p>
          <w:p>
            <w:pPr>
              <w:tabs>
                <w:tab w:val="left" w:pos="1185"/>
              </w:tabs>
              <w:jc w:val="center"/>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3356" w:type="dxa"/>
            <w:gridSpan w:val="2"/>
            <w:vMerge w:val="continue"/>
            <w:tcBorders>
              <w:top w:val="nil"/>
              <w:bottom w:val="nil"/>
            </w:tcBorders>
          </w:tcPr>
          <w:p/>
        </w:tc>
        <w:tc>
          <w:tcPr>
            <w:tcW w:w="224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43" w:type="dxa"/>
            <w:gridSpan w:val="2"/>
            <w:tcBorders>
              <w:top w:val="single" w:color="000000" w:sz="2" w:space="0"/>
              <w:bottom w:val="single" w:color="000000" w:sz="2" w:space="0"/>
            </w:tcBorders>
          </w:tcPr>
          <w:p>
            <w:pPr>
              <w:jc w:val="center"/>
            </w:pPr>
          </w:p>
          <w:p>
            <w:pPr>
              <w:tabs>
                <w:tab w:val="left" w:pos="1335"/>
              </w:tabs>
              <w:jc w:val="center"/>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356" w:type="dxa"/>
            <w:gridSpan w:val="2"/>
            <w:vMerge w:val="continue"/>
            <w:tcBorders>
              <w:top w:val="nil"/>
              <w:bottom w:val="single" w:color="000000" w:sz="2" w:space="0"/>
            </w:tcBorders>
          </w:tcPr>
          <w:p/>
        </w:tc>
        <w:tc>
          <w:tcPr>
            <w:tcW w:w="224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43"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9545"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9545" w:type="dxa"/>
            <w:gridSpan w:val="5"/>
            <w:tcBorders>
              <w:top w:val="single" w:color="000000" w:sz="2" w:space="0"/>
              <w:bottom w:val="single" w:color="000000" w:sz="2" w:space="0"/>
            </w:tcBorders>
            <w:vAlign w:val="center"/>
          </w:tcPr>
          <w:p>
            <w:pPr>
              <w:jc w:val="center"/>
            </w:pPr>
          </w:p>
          <w:p>
            <w:pPr>
              <w:tabs>
                <w:tab w:val="left" w:pos="4159"/>
              </w:tabs>
              <w:jc w:val="center"/>
            </w:pPr>
            <w:r>
              <w:rPr>
                <w:rFonts w:hint="eastAsia"/>
              </w:rPr>
              <w:t>保证财政各业务系统软硬件正常运行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426"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29"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3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5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29"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939" w:type="dxa"/>
            <w:gridSpan w:val="2"/>
            <w:tcBorders>
              <w:top w:val="single" w:color="000000" w:sz="2" w:space="0"/>
              <w:bottom w:val="single" w:color="000000" w:sz="2" w:space="0"/>
            </w:tcBorders>
            <w:vAlign w:val="center"/>
          </w:tcPr>
          <w:p>
            <w:pPr>
              <w:jc w:val="center"/>
            </w:pPr>
            <w:r>
              <w:rPr>
                <w:rFonts w:hint="eastAsia"/>
              </w:rPr>
              <w:t>日常维护平台信息系统数量</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continue"/>
          </w:tcPr>
          <w:p>
            <w:pPr>
              <w:spacing w:before="78" w:line="219" w:lineRule="auto"/>
              <w:ind w:firstLine="225"/>
              <w:rPr>
                <w:rFonts w:ascii="宋体" w:hAnsi="宋体" w:cs="宋体"/>
                <w:spacing w:val="-2"/>
                <w:sz w:val="24"/>
                <w:szCs w:val="24"/>
              </w:rPr>
            </w:pPr>
          </w:p>
        </w:tc>
        <w:tc>
          <w:tcPr>
            <w:tcW w:w="1929"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939" w:type="dxa"/>
            <w:gridSpan w:val="2"/>
            <w:tcBorders>
              <w:top w:val="single" w:color="000000" w:sz="2" w:space="0"/>
              <w:bottom w:val="single" w:color="000000" w:sz="2" w:space="0"/>
            </w:tcBorders>
            <w:vAlign w:val="center"/>
          </w:tcPr>
          <w:p>
            <w:pPr>
              <w:jc w:val="center"/>
            </w:pPr>
            <w:r>
              <w:rPr>
                <w:rFonts w:hint="eastAsia"/>
              </w:rPr>
              <w:t>机房网络设备运维范围</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39" w:type="dxa"/>
            <w:gridSpan w:val="2"/>
            <w:tcBorders>
              <w:top w:val="single" w:color="000000" w:sz="2" w:space="0"/>
              <w:bottom w:val="single" w:color="000000" w:sz="2" w:space="0"/>
            </w:tcBorders>
            <w:vAlign w:val="center"/>
          </w:tcPr>
          <w:p>
            <w:pPr>
              <w:jc w:val="center"/>
            </w:pPr>
            <w:r>
              <w:rPr>
                <w:rFonts w:hint="eastAsia"/>
              </w:rPr>
              <w:t>信息系统日常维护合格率</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39" w:type="dxa"/>
            <w:gridSpan w:val="2"/>
            <w:tcBorders>
              <w:top w:val="single" w:color="000000" w:sz="2" w:space="0"/>
              <w:bottom w:val="single" w:color="000000" w:sz="2" w:space="0"/>
            </w:tcBorders>
            <w:vAlign w:val="center"/>
          </w:tcPr>
          <w:p>
            <w:pPr>
              <w:jc w:val="center"/>
            </w:pPr>
            <w:r>
              <w:rPr>
                <w:rFonts w:hint="eastAsia"/>
              </w:rPr>
              <w:t>维修保障响应</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39" w:type="dxa"/>
            <w:gridSpan w:val="2"/>
            <w:tcBorders>
              <w:top w:val="single" w:color="000000" w:sz="2" w:space="0"/>
              <w:bottom w:val="single" w:color="000000" w:sz="2" w:space="0"/>
            </w:tcBorders>
            <w:vAlign w:val="center"/>
          </w:tcPr>
          <w:p>
            <w:pPr>
              <w:jc w:val="center"/>
            </w:pPr>
            <w:r>
              <w:rPr>
                <w:rFonts w:hint="eastAsia"/>
              </w:rPr>
              <w:t>对保障财政业务开展和效率的提升程度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39" w:type="dxa"/>
            <w:gridSpan w:val="2"/>
            <w:tcBorders>
              <w:top w:val="single" w:color="000000" w:sz="2" w:space="0"/>
              <w:bottom w:val="single" w:color="000000" w:sz="2" w:space="0"/>
            </w:tcBorders>
            <w:vAlign w:val="center"/>
          </w:tcPr>
          <w:p>
            <w:pPr>
              <w:jc w:val="center"/>
            </w:pPr>
            <w:r>
              <w:rPr>
                <w:rFonts w:hint="eastAsia"/>
              </w:rPr>
              <w:t>信息系统可用性及稳定性的改善或提升程度</w:t>
            </w:r>
          </w:p>
        </w:tc>
        <w:tc>
          <w:tcPr>
            <w:tcW w:w="2251" w:type="dxa"/>
            <w:tcBorders>
              <w:top w:val="single" w:color="000000" w:sz="2" w:space="0"/>
              <w:bottom w:val="single" w:color="000000" w:sz="2" w:space="0"/>
            </w:tcBorders>
            <w:vAlign w:val="center"/>
          </w:tcPr>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426"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29"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39" w:type="dxa"/>
            <w:gridSpan w:val="2"/>
            <w:tcBorders>
              <w:top w:val="single" w:color="000000" w:sz="2" w:space="0"/>
              <w:bottom w:val="single" w:color="000000" w:sz="2" w:space="0"/>
            </w:tcBorders>
            <w:vAlign w:val="center"/>
          </w:tcPr>
          <w:p>
            <w:pPr>
              <w:jc w:val="center"/>
            </w:pPr>
            <w:r>
              <w:rPr>
                <w:rFonts w:hint="eastAsia"/>
              </w:rPr>
              <w:t>服务对象满意度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bl>
    <w:p>
      <w:pPr>
        <w:pStyle w:val="2"/>
      </w:pPr>
    </w:p>
    <w:sectPr>
      <w:footerReference r:id="rId4"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1A8050"/>
    <w:multiLevelType w:val="singleLevel"/>
    <w:tmpl w:val="EE1A8050"/>
    <w:lvl w:ilvl="0" w:tentative="0">
      <w:start w:val="10"/>
      <w:numFmt w:val="chineseCounting"/>
      <w:suff w:val="space"/>
      <w:lvlText w:val="%1、"/>
      <w:lvlJc w:val="left"/>
      <w:rPr>
        <w:rFonts w:hint="eastAsia"/>
      </w:rPr>
    </w:lvl>
  </w:abstractNum>
  <w:abstractNum w:abstractNumId="1">
    <w:nsid w:val="6C203C7A"/>
    <w:multiLevelType w:val="singleLevel"/>
    <w:tmpl w:val="6C203C7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NotTrackMoves/>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I4Zjc1MTNkNDA5YjY3MjY2NDc4MzY3NTRjZGZlNmQifQ=="/>
  </w:docVars>
  <w:rsids>
    <w:rsidRoot w:val="000752C5"/>
    <w:rsid w:val="00007C27"/>
    <w:rsid w:val="0002340D"/>
    <w:rsid w:val="000752C5"/>
    <w:rsid w:val="000C64CC"/>
    <w:rsid w:val="00144D59"/>
    <w:rsid w:val="001A5E5F"/>
    <w:rsid w:val="001E7ED4"/>
    <w:rsid w:val="002C7D27"/>
    <w:rsid w:val="002E3DD4"/>
    <w:rsid w:val="0033403A"/>
    <w:rsid w:val="00336883"/>
    <w:rsid w:val="00387D9C"/>
    <w:rsid w:val="003E3321"/>
    <w:rsid w:val="00400835"/>
    <w:rsid w:val="004F5D4B"/>
    <w:rsid w:val="00575036"/>
    <w:rsid w:val="00700FFA"/>
    <w:rsid w:val="007379CB"/>
    <w:rsid w:val="007908B1"/>
    <w:rsid w:val="00817062"/>
    <w:rsid w:val="0089056E"/>
    <w:rsid w:val="008B4514"/>
    <w:rsid w:val="008C06DC"/>
    <w:rsid w:val="009573FB"/>
    <w:rsid w:val="009A4AC3"/>
    <w:rsid w:val="009C5C78"/>
    <w:rsid w:val="009D007F"/>
    <w:rsid w:val="00A01CEC"/>
    <w:rsid w:val="00A126FC"/>
    <w:rsid w:val="00A22B12"/>
    <w:rsid w:val="00AE2DF1"/>
    <w:rsid w:val="00B23BAF"/>
    <w:rsid w:val="00B92C77"/>
    <w:rsid w:val="00C07350"/>
    <w:rsid w:val="00D017D8"/>
    <w:rsid w:val="00DD6E57"/>
    <w:rsid w:val="00E54E6D"/>
    <w:rsid w:val="00EB63A7"/>
    <w:rsid w:val="00EF7D92"/>
    <w:rsid w:val="00F55F72"/>
    <w:rsid w:val="00F82B36"/>
    <w:rsid w:val="00FE3B4A"/>
    <w:rsid w:val="03BE360A"/>
    <w:rsid w:val="04B769D7"/>
    <w:rsid w:val="08054717"/>
    <w:rsid w:val="09FE0C04"/>
    <w:rsid w:val="0C967932"/>
    <w:rsid w:val="0CEC0CBB"/>
    <w:rsid w:val="0CF74508"/>
    <w:rsid w:val="0E6D6359"/>
    <w:rsid w:val="0FC47022"/>
    <w:rsid w:val="14663B49"/>
    <w:rsid w:val="15A60869"/>
    <w:rsid w:val="1AD721AD"/>
    <w:rsid w:val="1B8D0ED6"/>
    <w:rsid w:val="1C2A1B03"/>
    <w:rsid w:val="1CCF6322"/>
    <w:rsid w:val="1E6B6D53"/>
    <w:rsid w:val="26872B54"/>
    <w:rsid w:val="292B7444"/>
    <w:rsid w:val="2A8275BB"/>
    <w:rsid w:val="2AB84C6C"/>
    <w:rsid w:val="2DA817FB"/>
    <w:rsid w:val="2F964669"/>
    <w:rsid w:val="2FE01D02"/>
    <w:rsid w:val="300E7849"/>
    <w:rsid w:val="305E0214"/>
    <w:rsid w:val="30D314FE"/>
    <w:rsid w:val="36FE29F7"/>
    <w:rsid w:val="3971644D"/>
    <w:rsid w:val="3AA701B6"/>
    <w:rsid w:val="3B2E2790"/>
    <w:rsid w:val="3C8F5568"/>
    <w:rsid w:val="3D186608"/>
    <w:rsid w:val="46494D56"/>
    <w:rsid w:val="4AFF1BC1"/>
    <w:rsid w:val="4B123A6E"/>
    <w:rsid w:val="4B375D99"/>
    <w:rsid w:val="4B3C623A"/>
    <w:rsid w:val="4E974325"/>
    <w:rsid w:val="530B70D1"/>
    <w:rsid w:val="53CC0B75"/>
    <w:rsid w:val="55186B54"/>
    <w:rsid w:val="57250400"/>
    <w:rsid w:val="5A6546FC"/>
    <w:rsid w:val="5C194A8E"/>
    <w:rsid w:val="5D752E89"/>
    <w:rsid w:val="5E4C7B5E"/>
    <w:rsid w:val="64C470E5"/>
    <w:rsid w:val="6740753D"/>
    <w:rsid w:val="67AA6424"/>
    <w:rsid w:val="6C475E87"/>
    <w:rsid w:val="6E1E097C"/>
    <w:rsid w:val="70675B12"/>
    <w:rsid w:val="73162C2B"/>
    <w:rsid w:val="73457832"/>
    <w:rsid w:val="74DA3D0B"/>
    <w:rsid w:val="760B4F58"/>
    <w:rsid w:val="769507C3"/>
    <w:rsid w:val="77183F72"/>
    <w:rsid w:val="7AF45F7C"/>
    <w:rsid w:val="7B7E3749"/>
    <w:rsid w:val="7DCA137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6">
    <w:name w:val="Table Grid"/>
    <w:basedOn w:val="5"/>
    <w:qFormat/>
    <w:uiPriority w:val="99"/>
    <w:pPr>
      <w:widowControl w:val="0"/>
      <w:jc w:val="both"/>
    </w:pPr>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semiHidden/>
    <w:qFormat/>
    <w:uiPriority w:val="99"/>
    <w:rPr>
      <w:color w:val="000000"/>
      <w:kern w:val="0"/>
      <w:sz w:val="18"/>
      <w:szCs w:val="18"/>
    </w:rPr>
  </w:style>
  <w:style w:type="character" w:customStyle="1" w:styleId="9">
    <w:name w:val="页眉 Char"/>
    <w:basedOn w:val="7"/>
    <w:link w:val="4"/>
    <w:semiHidden/>
    <w:qFormat/>
    <w:uiPriority w:val="99"/>
    <w:rPr>
      <w:color w:val="000000"/>
      <w:kern w:val="0"/>
      <w:sz w:val="18"/>
      <w:szCs w:val="18"/>
    </w:rPr>
  </w:style>
  <w:style w:type="table" w:customStyle="1" w:styleId="10">
    <w:name w:val="Table Normal1"/>
    <w:semiHidden/>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Company>
  <Pages>9</Pages>
  <Words>2430</Words>
  <Characters>2745</Characters>
  <Lines>8</Lines>
  <Paragraphs>7</Paragraphs>
  <TotalTime>7</TotalTime>
  <ScaleCrop>false</ScaleCrop>
  <LinksUpToDate>false</LinksUpToDate>
  <CharactersWithSpaces>2801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乾洪</cp:lastModifiedBy>
  <cp:lastPrinted>2022-12-30T05:13:00Z</cp:lastPrinted>
  <dcterms:modified xsi:type="dcterms:W3CDTF">2023-06-21T01:38:10Z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2052-11.1.0.14036</vt:lpwstr>
  </property>
  <property fmtid="{D5CDD505-2E9C-101B-9397-08002B2CF9AE}" pid="4" name="ICV">
    <vt:lpwstr>67FD14B47927424F881C70EFE4E36DCB</vt:lpwstr>
  </property>
</Properties>
</file>