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9" w:line="225" w:lineRule="auto"/>
        <w:jc w:val="center"/>
        <w:outlineLvl w:val="0"/>
        <w:rPr>
          <w:rFonts w:hint="eastAsia" w:ascii="黑体" w:hAnsi="黑体" w:eastAsia="黑体" w:cs="黑体"/>
          <w:b/>
          <w:bCs/>
          <w:spacing w:val="4"/>
          <w:sz w:val="43"/>
          <w:szCs w:val="43"/>
          <w:lang w:val="en-US" w:eastAsia="zh-CN"/>
        </w:rPr>
      </w:pPr>
      <w:bookmarkStart w:id="0" w:name="_GoBack"/>
      <w:bookmarkEnd w:id="0"/>
    </w:p>
    <w:p>
      <w:pPr>
        <w:spacing w:before="139" w:line="225" w:lineRule="auto"/>
        <w:jc w:val="center"/>
        <w:outlineLvl w:val="0"/>
        <w:rPr>
          <w:rFonts w:hint="eastAsia" w:ascii="黑体" w:hAnsi="黑体" w:eastAsia="黑体" w:cs="黑体"/>
          <w:b/>
          <w:bCs/>
          <w:spacing w:val="4"/>
          <w:sz w:val="43"/>
          <w:szCs w:val="43"/>
          <w:lang w:val="en-US" w:eastAsia="zh-CN"/>
        </w:rPr>
      </w:pPr>
    </w:p>
    <w:p>
      <w:pPr>
        <w:spacing w:before="139" w:line="225" w:lineRule="auto"/>
        <w:jc w:val="center"/>
        <w:outlineLvl w:val="0"/>
        <w:rPr>
          <w:rFonts w:ascii="黑体" w:hAnsi="黑体" w:eastAsia="黑体" w:cs="黑体"/>
          <w:sz w:val="43"/>
          <w:szCs w:val="43"/>
        </w:rPr>
      </w:pPr>
      <w:r>
        <w:rPr>
          <w:rFonts w:hint="eastAsia" w:ascii="黑体" w:hAnsi="黑体" w:eastAsia="黑体" w:cs="黑体"/>
          <w:b/>
          <w:bCs/>
          <w:spacing w:val="4"/>
          <w:sz w:val="43"/>
          <w:szCs w:val="43"/>
          <w:lang w:val="en-US" w:eastAsia="zh-CN"/>
        </w:rPr>
        <w:t>南昌市新建区财政局</w:t>
      </w:r>
      <w:r>
        <w:rPr>
          <w:rFonts w:ascii="黑体" w:hAnsi="黑体" w:eastAsia="黑体" w:cs="黑体"/>
          <w:b/>
          <w:bCs/>
          <w:spacing w:val="4"/>
          <w:sz w:val="43"/>
          <w:szCs w:val="43"/>
        </w:rPr>
        <w:t>部门</w:t>
      </w:r>
      <w:r>
        <w:rPr>
          <w:rFonts w:hint="eastAsia" w:ascii="黑体" w:hAnsi="黑体" w:eastAsia="黑体" w:cs="黑体"/>
          <w:b/>
          <w:bCs/>
          <w:spacing w:val="4"/>
          <w:sz w:val="43"/>
          <w:szCs w:val="43"/>
          <w:lang w:val="en-US" w:eastAsia="zh-CN"/>
        </w:rPr>
        <w:t>2024</w:t>
      </w:r>
      <w:r>
        <w:rPr>
          <w:rFonts w:ascii="黑体" w:hAnsi="黑体" w:eastAsia="黑体" w:cs="黑体"/>
          <w:b/>
          <w:bCs/>
          <w:spacing w:val="4"/>
          <w:sz w:val="43"/>
          <w:szCs w:val="43"/>
        </w:rPr>
        <w:t>年部门预算</w:t>
      </w:r>
    </w:p>
    <w:p>
      <w:pPr>
        <w:spacing w:line="340" w:lineRule="auto"/>
        <w:jc w:val="center"/>
        <w:rPr>
          <w:rFonts w:ascii="Arial"/>
          <w:sz w:val="21"/>
        </w:rPr>
      </w:pPr>
    </w:p>
    <w:p>
      <w:pPr>
        <w:spacing w:line="340" w:lineRule="auto"/>
        <w:jc w:val="center"/>
        <w:rPr>
          <w:rFonts w:ascii="Arial"/>
          <w:sz w:val="21"/>
        </w:rPr>
      </w:pPr>
    </w:p>
    <w:p>
      <w:pPr>
        <w:spacing w:before="100" w:line="227" w:lineRule="auto"/>
        <w:ind w:left="3580" w:firstLine="1862" w:firstLineChars="700"/>
        <w:rPr>
          <w:rFonts w:ascii="黑体" w:hAnsi="黑体" w:eastAsia="黑体" w:cs="黑体"/>
          <w:sz w:val="31"/>
          <w:szCs w:val="31"/>
        </w:rPr>
      </w:pPr>
      <w:r>
        <w:rPr>
          <w:rFonts w:ascii="黑体" w:hAnsi="黑体" w:eastAsia="黑体" w:cs="黑体"/>
          <w:spacing w:val="-22"/>
          <w:sz w:val="31"/>
          <w:szCs w:val="31"/>
        </w:rPr>
        <w:t>目</w:t>
      </w:r>
      <w:r>
        <w:rPr>
          <w:rFonts w:ascii="黑体" w:hAnsi="黑体" w:eastAsia="黑体" w:cs="黑体"/>
          <w:spacing w:val="8"/>
          <w:sz w:val="31"/>
          <w:szCs w:val="31"/>
        </w:rPr>
        <w:t xml:space="preserve">    </w:t>
      </w:r>
      <w:r>
        <w:rPr>
          <w:rFonts w:ascii="黑体" w:hAnsi="黑体" w:eastAsia="黑体" w:cs="黑体"/>
          <w:spacing w:val="-22"/>
          <w:sz w:val="31"/>
          <w:szCs w:val="31"/>
        </w:rPr>
        <w:t>录</w:t>
      </w:r>
    </w:p>
    <w:p>
      <w:pPr>
        <w:spacing w:line="452" w:lineRule="auto"/>
        <w:rPr>
          <w:rFonts w:ascii="Arial"/>
          <w:sz w:val="21"/>
        </w:rPr>
      </w:pPr>
    </w:p>
    <w:p>
      <w:pPr>
        <w:pStyle w:val="3"/>
        <w:spacing w:before="250" w:line="222" w:lineRule="auto"/>
        <w:ind w:left="683" w:firstLine="1277" w:firstLineChars="400"/>
        <w:rPr>
          <w:b/>
          <w:bCs/>
          <w:spacing w:val="4"/>
        </w:rPr>
      </w:pPr>
      <w:r>
        <w:rPr>
          <w:b/>
          <w:bCs/>
          <w:spacing w:val="4"/>
        </w:rPr>
        <w:t xml:space="preserve">第一部分  </w:t>
      </w:r>
      <w:r>
        <w:rPr>
          <w:rFonts w:hint="eastAsia"/>
          <w:b/>
          <w:bCs/>
          <w:spacing w:val="4"/>
          <w:lang w:val="en-US" w:eastAsia="zh-CN"/>
        </w:rPr>
        <w:t>新建区财政局</w:t>
      </w:r>
      <w:r>
        <w:rPr>
          <w:b/>
          <w:bCs/>
          <w:spacing w:val="4"/>
        </w:rPr>
        <w:t>部门概况</w:t>
      </w:r>
    </w:p>
    <w:p>
      <w:pPr>
        <w:pStyle w:val="3"/>
        <w:spacing w:before="251" w:line="222" w:lineRule="auto"/>
        <w:ind w:left="1325" w:firstLine="960" w:firstLineChars="300"/>
      </w:pPr>
      <w:r>
        <w:rPr>
          <w:spacing w:val="5"/>
        </w:rPr>
        <w:t>一、部门主要职责</w:t>
      </w:r>
    </w:p>
    <w:p>
      <w:pPr>
        <w:pStyle w:val="3"/>
        <w:spacing w:before="253" w:line="222" w:lineRule="auto"/>
        <w:ind w:left="1323" w:firstLine="972" w:firstLineChars="300"/>
      </w:pPr>
      <w:r>
        <w:rPr>
          <w:spacing w:val="7"/>
        </w:rPr>
        <w:t>二、机构设置及人员情况</w:t>
      </w:r>
    </w:p>
    <w:p>
      <w:pPr>
        <w:pStyle w:val="3"/>
        <w:spacing w:before="250" w:line="222" w:lineRule="auto"/>
        <w:ind w:left="683" w:firstLine="1277" w:firstLineChars="400"/>
      </w:pPr>
      <w:r>
        <w:rPr>
          <w:b/>
          <w:bCs/>
          <w:spacing w:val="4"/>
        </w:rPr>
        <w:t>第二部分</w:t>
      </w:r>
      <w:r>
        <w:rPr>
          <w:spacing w:val="4"/>
        </w:rPr>
        <w:t xml:space="preserve">  </w:t>
      </w:r>
      <w:r>
        <w:rPr>
          <w:rFonts w:hint="eastAsia"/>
          <w:b/>
          <w:bCs/>
          <w:spacing w:val="4"/>
          <w:lang w:val="en-US" w:eastAsia="zh-CN"/>
        </w:rPr>
        <w:t>财政局2024</w:t>
      </w:r>
      <w:r>
        <w:rPr>
          <w:b/>
          <w:bCs/>
          <w:spacing w:val="4"/>
        </w:rPr>
        <w:t>年部门预算表</w:t>
      </w:r>
    </w:p>
    <w:p>
      <w:pPr>
        <w:pStyle w:val="3"/>
        <w:spacing w:before="252" w:line="624" w:lineRule="exact"/>
        <w:ind w:firstLine="2320" w:firstLineChars="800"/>
      </w:pPr>
      <w:r>
        <w:rPr>
          <w:spacing w:val="-10"/>
          <w:position w:val="23"/>
        </w:rPr>
        <w:t>一、《收支预算总表》</w:t>
      </w:r>
    </w:p>
    <w:p>
      <w:pPr>
        <w:pStyle w:val="3"/>
        <w:spacing w:before="1" w:line="221" w:lineRule="auto"/>
        <w:ind w:firstLine="2320" w:firstLineChars="800"/>
      </w:pPr>
      <w:r>
        <w:rPr>
          <w:spacing w:val="-10"/>
        </w:rPr>
        <w:t>二、《部门收入总表》</w:t>
      </w:r>
    </w:p>
    <w:p>
      <w:pPr>
        <w:pStyle w:val="3"/>
        <w:spacing w:before="251" w:line="222" w:lineRule="auto"/>
        <w:ind w:firstLine="2304" w:firstLineChars="800"/>
        <w:jc w:val="both"/>
      </w:pPr>
      <w:r>
        <w:rPr>
          <w:spacing w:val="-11"/>
        </w:rPr>
        <w:t>三、《部门支出总表》</w:t>
      </w:r>
    </w:p>
    <w:p>
      <w:pPr>
        <w:pStyle w:val="3"/>
        <w:spacing w:before="252" w:line="223" w:lineRule="auto"/>
        <w:ind w:firstLine="2352" w:firstLineChars="800"/>
        <w:jc w:val="both"/>
      </w:pPr>
      <w:r>
        <w:rPr>
          <w:spacing w:val="-8"/>
        </w:rPr>
        <w:t>四、《财政拨款收支总表》</w:t>
      </w:r>
    </w:p>
    <w:p>
      <w:pPr>
        <w:pStyle w:val="3"/>
        <w:spacing w:before="249" w:line="222" w:lineRule="auto"/>
        <w:ind w:firstLine="2400" w:firstLineChars="800"/>
        <w:jc w:val="both"/>
      </w:pPr>
      <w:r>
        <w:rPr>
          <w:spacing w:val="-5"/>
        </w:rPr>
        <w:t>五、《一般公共预算支出表》</w:t>
      </w:r>
    </w:p>
    <w:p>
      <w:pPr>
        <w:pStyle w:val="3"/>
        <w:spacing w:before="251" w:line="222" w:lineRule="auto"/>
        <w:ind w:firstLine="2432" w:firstLineChars="800"/>
        <w:jc w:val="both"/>
      </w:pPr>
      <w:r>
        <w:rPr>
          <w:spacing w:val="-3"/>
        </w:rPr>
        <w:t>六、《一般公共预算基本支出表》</w:t>
      </w:r>
    </w:p>
    <w:p>
      <w:pPr>
        <w:pStyle w:val="3"/>
        <w:spacing w:before="252" w:line="223" w:lineRule="auto"/>
        <w:ind w:firstLine="2368" w:firstLineChars="800"/>
        <w:jc w:val="both"/>
      </w:pPr>
      <w:r>
        <w:rPr>
          <w:spacing w:val="-7"/>
        </w:rPr>
        <w:t>七、《财政拨款</w:t>
      </w:r>
      <w:r>
        <w:rPr>
          <w:spacing w:val="-89"/>
        </w:rPr>
        <w:t xml:space="preserve"> </w:t>
      </w:r>
      <w:r>
        <w:rPr>
          <w:spacing w:val="-7"/>
        </w:rPr>
        <w:t>“</w:t>
      </w:r>
      <w:r>
        <w:rPr>
          <w:spacing w:val="-118"/>
        </w:rPr>
        <w:t xml:space="preserve"> </w:t>
      </w:r>
      <w:r>
        <w:rPr>
          <w:spacing w:val="-7"/>
        </w:rPr>
        <w:t>三公”经费支出表》</w:t>
      </w:r>
    </w:p>
    <w:p>
      <w:pPr>
        <w:pStyle w:val="3"/>
        <w:spacing w:before="250" w:line="220" w:lineRule="auto"/>
        <w:ind w:firstLine="2416" w:firstLineChars="800"/>
        <w:jc w:val="both"/>
      </w:pPr>
      <w:r>
        <w:rPr>
          <w:spacing w:val="-4"/>
        </w:rPr>
        <w:t>八、《政府性基金预算支出表》</w:t>
      </w:r>
    </w:p>
    <w:p>
      <w:pPr>
        <w:pStyle w:val="3"/>
        <w:spacing w:before="254" w:line="624" w:lineRule="exact"/>
        <w:ind w:firstLine="2432" w:firstLineChars="800"/>
        <w:jc w:val="both"/>
      </w:pPr>
      <w:r>
        <w:rPr>
          <w:spacing w:val="-3"/>
          <w:position w:val="23"/>
        </w:rPr>
        <w:t>九、《国有资本经营预算支出表》</w:t>
      </w:r>
    </w:p>
    <w:p>
      <w:pPr>
        <w:pStyle w:val="3"/>
        <w:spacing w:before="1" w:line="221" w:lineRule="auto"/>
        <w:ind w:firstLine="2432" w:firstLineChars="800"/>
        <w:jc w:val="both"/>
      </w:pPr>
      <w:r>
        <w:rPr>
          <w:spacing w:val="-3"/>
        </w:rPr>
        <w:t>十、《部门整体支出绩效目标表》</w:t>
      </w:r>
    </w:p>
    <w:p>
      <w:pPr>
        <w:pStyle w:val="3"/>
        <w:spacing w:before="253" w:line="222" w:lineRule="auto"/>
        <w:ind w:firstLine="2384" w:firstLineChars="800"/>
        <w:jc w:val="both"/>
      </w:pPr>
      <w:r>
        <w:rPr>
          <w:spacing w:val="-6"/>
        </w:rPr>
        <w:t>十一、《项目绩效目标表》</w:t>
      </w:r>
    </w:p>
    <w:p>
      <w:pPr>
        <w:pStyle w:val="3"/>
        <w:spacing w:before="250" w:line="222" w:lineRule="auto"/>
        <w:ind w:left="683" w:firstLine="1285" w:firstLineChars="400"/>
        <w:jc w:val="both"/>
      </w:pPr>
      <w:r>
        <w:rPr>
          <w:b/>
          <w:bCs/>
          <w:spacing w:val="5"/>
        </w:rPr>
        <w:t>第三部分</w:t>
      </w:r>
      <w:r>
        <w:rPr>
          <w:spacing w:val="4"/>
        </w:rPr>
        <w:t xml:space="preserve"> </w:t>
      </w:r>
      <w:r>
        <w:rPr>
          <w:rFonts w:hint="eastAsia"/>
          <w:b/>
          <w:bCs/>
          <w:spacing w:val="4"/>
          <w:lang w:val="en-US" w:eastAsia="zh-CN"/>
        </w:rPr>
        <w:t>财政局2024</w:t>
      </w:r>
      <w:r>
        <w:rPr>
          <w:b/>
          <w:bCs/>
          <w:spacing w:val="4"/>
        </w:rPr>
        <w:t>年</w:t>
      </w:r>
      <w:r>
        <w:rPr>
          <w:b/>
          <w:bCs/>
          <w:spacing w:val="5"/>
        </w:rPr>
        <w:t>部门预算情况说明</w:t>
      </w:r>
    </w:p>
    <w:p>
      <w:pPr>
        <w:pStyle w:val="3"/>
        <w:spacing w:before="251" w:line="222" w:lineRule="auto"/>
        <w:ind w:firstLine="2592" w:firstLineChars="800"/>
        <w:jc w:val="both"/>
      </w:pPr>
      <w:r>
        <w:rPr>
          <w:spacing w:val="7"/>
        </w:rPr>
        <w:t>一、</w:t>
      </w:r>
      <w:r>
        <w:rPr>
          <w:rFonts w:hint="eastAsia"/>
          <w:spacing w:val="7"/>
          <w:lang w:val="en-US" w:eastAsia="zh-CN"/>
        </w:rPr>
        <w:t>2024</w:t>
      </w:r>
      <w:r>
        <w:rPr>
          <w:spacing w:val="7"/>
        </w:rPr>
        <w:t>年部门预算收支情况说明</w:t>
      </w:r>
    </w:p>
    <w:p>
      <w:pPr>
        <w:pStyle w:val="3"/>
        <w:spacing w:before="251" w:line="222" w:lineRule="auto"/>
        <w:ind w:firstLine="2512" w:firstLineChars="800"/>
        <w:jc w:val="both"/>
      </w:pPr>
      <w:r>
        <w:rPr>
          <w:spacing w:val="2"/>
        </w:rPr>
        <w:t>二、</w:t>
      </w:r>
      <w:r>
        <w:rPr>
          <w:rFonts w:hint="eastAsia"/>
          <w:spacing w:val="2"/>
          <w:lang w:val="en-US" w:eastAsia="zh-CN"/>
        </w:rPr>
        <w:t>2024</w:t>
      </w:r>
      <w:r>
        <w:rPr>
          <w:spacing w:val="2"/>
        </w:rPr>
        <w:t>年</w:t>
      </w:r>
      <w:r>
        <w:rPr>
          <w:spacing w:val="-98"/>
        </w:rPr>
        <w:t xml:space="preserve"> </w:t>
      </w:r>
      <w:r>
        <w:rPr>
          <w:spacing w:val="2"/>
        </w:rPr>
        <w:t>“</w:t>
      </w:r>
      <w:r>
        <w:rPr>
          <w:spacing w:val="-119"/>
        </w:rPr>
        <w:t xml:space="preserve"> </w:t>
      </w:r>
      <w:r>
        <w:rPr>
          <w:spacing w:val="2"/>
        </w:rPr>
        <w:t>三公”经费预算情况说明</w:t>
      </w:r>
    </w:p>
    <w:p>
      <w:pPr>
        <w:pStyle w:val="3"/>
        <w:spacing w:before="252" w:line="222" w:lineRule="auto"/>
        <w:ind w:left="683" w:firstLine="1277" w:firstLineChars="400"/>
        <w:sectPr>
          <w:headerReference r:id="rId5" w:type="default"/>
          <w:footerReference r:id="rId6" w:type="default"/>
          <w:pgSz w:w="11905" w:h="16820"/>
          <w:pgMar w:top="1" w:right="0" w:bottom="1" w:left="0" w:header="0" w:footer="0" w:gutter="0"/>
          <w:cols w:space="720" w:num="1"/>
        </w:sectPr>
      </w:pPr>
      <w:r>
        <w:rPr>
          <w:b/>
          <w:bCs/>
          <w:spacing w:val="4"/>
        </w:rPr>
        <w:t>第四部分</w:t>
      </w:r>
      <w:r>
        <w:rPr>
          <w:spacing w:val="4"/>
        </w:rPr>
        <w:t xml:space="preserve">  </w:t>
      </w:r>
      <w:r>
        <w:rPr>
          <w:b/>
          <w:bCs/>
          <w:spacing w:val="4"/>
        </w:rPr>
        <w:t>名词解释</w:t>
      </w:r>
    </w:p>
    <w:p>
      <w:pPr>
        <w:pStyle w:val="3"/>
        <w:spacing w:before="101" w:line="222" w:lineRule="auto"/>
        <w:rPr>
          <w:b/>
          <w:bCs/>
        </w:rPr>
      </w:pPr>
    </w:p>
    <w:p>
      <w:pPr>
        <w:pStyle w:val="3"/>
        <w:spacing w:before="250" w:line="222" w:lineRule="auto"/>
        <w:ind w:left="683" w:firstLine="1285" w:firstLineChars="400"/>
        <w:jc w:val="both"/>
        <w:rPr>
          <w:b/>
          <w:bCs/>
          <w:spacing w:val="5"/>
        </w:rPr>
      </w:pPr>
      <w:r>
        <w:rPr>
          <w:b/>
          <w:bCs/>
          <w:spacing w:val="5"/>
        </w:rPr>
        <w:t xml:space="preserve">第一部分 </w:t>
      </w:r>
      <w:r>
        <w:rPr>
          <w:rFonts w:hint="eastAsia"/>
          <w:b/>
          <w:bCs/>
          <w:spacing w:val="5"/>
          <w:lang w:val="en-US" w:eastAsia="zh-CN"/>
        </w:rPr>
        <w:t>新建区</w:t>
      </w:r>
      <w:r>
        <w:rPr>
          <w:b/>
          <w:bCs/>
          <w:spacing w:val="5"/>
        </w:rPr>
        <w:t xml:space="preserve"> </w:t>
      </w:r>
      <w:r>
        <w:rPr>
          <w:rFonts w:hint="eastAsia"/>
          <w:b/>
          <w:bCs/>
          <w:spacing w:val="5"/>
          <w:lang w:val="en-US" w:eastAsia="zh-CN"/>
        </w:rPr>
        <w:t>财政局</w:t>
      </w:r>
      <w:r>
        <w:rPr>
          <w:b/>
          <w:bCs/>
          <w:spacing w:val="5"/>
        </w:rPr>
        <w:t>部门概况</w:t>
      </w:r>
    </w:p>
    <w:p>
      <w:pPr>
        <w:spacing w:line="342" w:lineRule="auto"/>
        <w:rPr>
          <w:rFonts w:ascii="Arial"/>
          <w:sz w:val="21"/>
        </w:rPr>
      </w:pPr>
    </w:p>
    <w:p>
      <w:pPr>
        <w:spacing w:line="342" w:lineRule="auto"/>
        <w:rPr>
          <w:rFonts w:ascii="Arial"/>
          <w:sz w:val="21"/>
        </w:rPr>
      </w:pPr>
    </w:p>
    <w:p>
      <w:pPr>
        <w:pStyle w:val="3"/>
        <w:spacing w:before="250" w:line="372" w:lineRule="auto"/>
        <w:ind w:right="16"/>
        <w:jc w:val="both"/>
        <w:rPr>
          <w:rFonts w:hint="eastAsia"/>
          <w:spacing w:val="11"/>
          <w:lang w:val="en-US" w:eastAsia="zh-CN"/>
        </w:rPr>
      </w:pPr>
      <w:r>
        <w:rPr>
          <w:rFonts w:hint="eastAsia"/>
          <w:spacing w:val="11"/>
          <w:lang w:val="en-US" w:eastAsia="zh-CN"/>
        </w:rPr>
        <w:t>一、部门主要职责</w:t>
      </w:r>
    </w:p>
    <w:p>
      <w:pPr>
        <w:pStyle w:val="3"/>
        <w:spacing w:before="250" w:line="372" w:lineRule="auto"/>
        <w:ind w:right="16" w:firstLine="664" w:firstLineChars="200"/>
        <w:jc w:val="both"/>
        <w:rPr>
          <w:rFonts w:hint="eastAsia"/>
          <w:spacing w:val="11"/>
          <w:lang w:val="en-US" w:eastAsia="zh-CN"/>
        </w:rPr>
      </w:pPr>
      <w:r>
        <w:rPr>
          <w:rFonts w:hint="eastAsia"/>
          <w:spacing w:val="11"/>
          <w:lang w:val="en-US" w:eastAsia="zh-CN"/>
        </w:rPr>
        <w:t>贯彻执行国家财政、税收、宏观经济等各项方针政策，拟定全区财政、财务、会计管理及行政事业单位国有资产管理的规范性文件，编制年度区本级预决算草案并组织执行。负责政府非税收入管理，负责政府性基金管理及预算编制，管理财政票据。推行区级财政国库集中收付制度并进行监督管理，负责管理全区的会计工作，监督和规范会计行为，承办区人民政府交办的其他事项。</w:t>
      </w:r>
    </w:p>
    <w:p>
      <w:pPr>
        <w:pStyle w:val="3"/>
        <w:spacing w:before="250" w:line="372" w:lineRule="auto"/>
        <w:ind w:right="16"/>
        <w:jc w:val="both"/>
        <w:rPr>
          <w:rFonts w:hint="eastAsia"/>
          <w:spacing w:val="11"/>
          <w:lang w:val="en-US" w:eastAsia="zh-CN"/>
        </w:rPr>
      </w:pPr>
      <w:r>
        <w:rPr>
          <w:rFonts w:hint="eastAsia"/>
          <w:spacing w:val="11"/>
          <w:lang w:val="en-US" w:eastAsia="zh-CN"/>
        </w:rPr>
        <w:t>二、机构设置及人员情况</w:t>
      </w:r>
    </w:p>
    <w:p>
      <w:pPr>
        <w:pStyle w:val="3"/>
        <w:spacing w:before="250" w:line="372" w:lineRule="auto"/>
        <w:ind w:right="16" w:firstLine="664" w:firstLineChars="200"/>
        <w:jc w:val="both"/>
        <w:rPr>
          <w:rFonts w:hint="eastAsia"/>
          <w:spacing w:val="11"/>
          <w:lang w:val="en-US" w:eastAsia="zh-CN"/>
        </w:rPr>
      </w:pPr>
      <w:r>
        <w:rPr>
          <w:rFonts w:hint="eastAsia"/>
          <w:spacing w:val="11"/>
          <w:lang w:val="en-US" w:eastAsia="en-US"/>
        </w:rPr>
        <w:t>纳入本套部门决算汇编范围的单位共1个。内设机构为7个，分别为办公室、预算和债务金融股（国库股）、农业和乡镇财务股（资金运行监管股）、行政政法股（教科文股）经济建设和会计股（综合计划股）、社会保障股（企业财务股）、财督和国有资产管理办公室（政府采购办公室）；股级职数8名（含机关党组织专职副书记1名</w:t>
      </w:r>
      <w:r>
        <w:rPr>
          <w:rFonts w:hint="eastAsia"/>
          <w:spacing w:val="11"/>
          <w:lang w:val="en-US" w:eastAsia="zh-CN"/>
        </w:rPr>
        <w:t>）。</w:t>
      </w:r>
    </w:p>
    <w:p>
      <w:pPr>
        <w:pStyle w:val="3"/>
        <w:spacing w:before="250" w:line="372" w:lineRule="auto"/>
        <w:ind w:right="16" w:firstLine="664" w:firstLineChars="200"/>
        <w:jc w:val="both"/>
        <w:rPr>
          <w:rFonts w:hint="eastAsia"/>
          <w:spacing w:val="11"/>
          <w:lang w:val="en-US" w:eastAsia="zh-CN"/>
        </w:rPr>
      </w:pPr>
      <w:r>
        <w:rPr>
          <w:rFonts w:hint="eastAsia"/>
          <w:spacing w:val="11"/>
          <w:lang w:val="en-US" w:eastAsia="en-US"/>
        </w:rPr>
        <w:t>本部门202</w:t>
      </w:r>
      <w:r>
        <w:rPr>
          <w:rFonts w:hint="eastAsia"/>
          <w:spacing w:val="11"/>
          <w:lang w:val="en-US" w:eastAsia="zh-CN"/>
        </w:rPr>
        <w:t>3</w:t>
      </w:r>
      <w:r>
        <w:rPr>
          <w:rFonts w:hint="eastAsia"/>
          <w:spacing w:val="11"/>
          <w:lang w:val="en-US" w:eastAsia="en-US"/>
        </w:rPr>
        <w:t>年年末编制人数小计</w:t>
      </w:r>
      <w:r>
        <w:rPr>
          <w:rFonts w:hint="eastAsia"/>
          <w:spacing w:val="11"/>
          <w:lang w:val="en-US" w:eastAsia="zh-CN"/>
        </w:rPr>
        <w:t>124</w:t>
      </w:r>
      <w:r>
        <w:rPr>
          <w:rFonts w:hint="eastAsia"/>
          <w:spacing w:val="11"/>
          <w:lang w:val="en-US" w:eastAsia="en-US"/>
        </w:rPr>
        <w:t>人,其中：行政编制人数</w:t>
      </w:r>
      <w:r>
        <w:rPr>
          <w:rFonts w:hint="eastAsia"/>
          <w:spacing w:val="11"/>
          <w:lang w:val="en-US" w:eastAsia="zh-CN"/>
        </w:rPr>
        <w:t>28</w:t>
      </w:r>
      <w:r>
        <w:rPr>
          <w:rFonts w:hint="eastAsia"/>
          <w:spacing w:val="11"/>
          <w:lang w:val="en-US" w:eastAsia="en-US"/>
        </w:rPr>
        <w:t>人,全部补助事业编制人数</w:t>
      </w:r>
      <w:r>
        <w:rPr>
          <w:rFonts w:hint="eastAsia"/>
          <w:spacing w:val="11"/>
          <w:lang w:val="en-US" w:eastAsia="zh-CN"/>
        </w:rPr>
        <w:t>96</w:t>
      </w:r>
      <w:r>
        <w:rPr>
          <w:rFonts w:hint="eastAsia"/>
          <w:spacing w:val="11"/>
          <w:lang w:val="en-US" w:eastAsia="en-US"/>
        </w:rPr>
        <w:t>人,部分补助事业编制人数</w:t>
      </w:r>
      <w:r>
        <w:rPr>
          <w:rFonts w:hint="eastAsia"/>
          <w:spacing w:val="11"/>
          <w:lang w:val="en-US" w:eastAsia="zh-CN"/>
        </w:rPr>
        <w:t>0</w:t>
      </w:r>
      <w:r>
        <w:rPr>
          <w:rFonts w:hint="eastAsia"/>
          <w:spacing w:val="11"/>
          <w:lang w:val="en-US" w:eastAsia="en-US"/>
        </w:rPr>
        <w:t>人。实有人数小计</w:t>
      </w:r>
      <w:r>
        <w:rPr>
          <w:rFonts w:hint="eastAsia"/>
          <w:spacing w:val="11"/>
          <w:lang w:val="en-US" w:eastAsia="zh-CN"/>
        </w:rPr>
        <w:t>124</w:t>
      </w:r>
      <w:r>
        <w:rPr>
          <w:rFonts w:hint="eastAsia"/>
          <w:spacing w:val="11"/>
          <w:lang w:val="en-US" w:eastAsia="en-US"/>
        </w:rPr>
        <w:t>人,其中：在职人数小计</w:t>
      </w:r>
      <w:r>
        <w:rPr>
          <w:rFonts w:hint="eastAsia"/>
          <w:spacing w:val="11"/>
          <w:lang w:val="en-US" w:eastAsia="zh-CN"/>
        </w:rPr>
        <w:t>124</w:t>
      </w:r>
      <w:r>
        <w:rPr>
          <w:rFonts w:hint="eastAsia"/>
          <w:spacing w:val="11"/>
          <w:lang w:val="en-US" w:eastAsia="en-US"/>
        </w:rPr>
        <w:t>人,行政在职人数</w:t>
      </w:r>
      <w:r>
        <w:rPr>
          <w:rFonts w:hint="eastAsia"/>
          <w:spacing w:val="11"/>
          <w:lang w:val="en-US" w:eastAsia="zh-CN"/>
        </w:rPr>
        <w:t>28</w:t>
      </w:r>
      <w:r>
        <w:rPr>
          <w:rFonts w:hint="eastAsia"/>
          <w:spacing w:val="11"/>
          <w:lang w:val="en-US" w:eastAsia="en-US"/>
        </w:rPr>
        <w:t>人,全部补助事业在职人数</w:t>
      </w:r>
      <w:r>
        <w:rPr>
          <w:rFonts w:hint="eastAsia"/>
          <w:spacing w:val="11"/>
          <w:lang w:val="en-US" w:eastAsia="zh-CN"/>
        </w:rPr>
        <w:t>96</w:t>
      </w:r>
      <w:r>
        <w:rPr>
          <w:rFonts w:hint="eastAsia"/>
          <w:spacing w:val="11"/>
          <w:lang w:val="en-US" w:eastAsia="en-US"/>
        </w:rPr>
        <w:t>人,部分补助事业在职人数</w:t>
      </w:r>
      <w:r>
        <w:rPr>
          <w:rFonts w:hint="eastAsia"/>
          <w:spacing w:val="11"/>
          <w:lang w:val="en-US" w:eastAsia="zh-CN"/>
        </w:rPr>
        <w:t>0</w:t>
      </w:r>
      <w:r>
        <w:rPr>
          <w:rFonts w:hint="eastAsia"/>
          <w:spacing w:val="11"/>
          <w:lang w:val="en-US" w:eastAsia="en-US"/>
        </w:rPr>
        <w:t>人。离休人数小计</w:t>
      </w:r>
      <w:r>
        <w:rPr>
          <w:rFonts w:hint="eastAsia"/>
          <w:spacing w:val="11"/>
          <w:lang w:val="en-US" w:eastAsia="zh-CN"/>
        </w:rPr>
        <w:t>0</w:t>
      </w:r>
      <w:r>
        <w:rPr>
          <w:rFonts w:hint="eastAsia"/>
          <w:spacing w:val="11"/>
          <w:lang w:val="en-US" w:eastAsia="en-US"/>
        </w:rPr>
        <w:t>人,退休人数小计</w:t>
      </w:r>
      <w:r>
        <w:rPr>
          <w:rFonts w:hint="eastAsia"/>
          <w:spacing w:val="11"/>
          <w:lang w:val="en-US" w:eastAsia="zh-CN"/>
        </w:rPr>
        <w:t>73</w:t>
      </w:r>
      <w:r>
        <w:rPr>
          <w:rFonts w:hint="eastAsia"/>
          <w:spacing w:val="11"/>
          <w:lang w:val="en-US" w:eastAsia="en-US"/>
        </w:rPr>
        <w:t>人,遗属人数</w:t>
      </w:r>
      <w:r>
        <w:rPr>
          <w:rFonts w:hint="eastAsia"/>
          <w:spacing w:val="11"/>
          <w:lang w:val="en-US" w:eastAsia="zh-CN"/>
        </w:rPr>
        <w:t>3</w:t>
      </w:r>
      <w:r>
        <w:rPr>
          <w:rFonts w:hint="eastAsia"/>
          <w:spacing w:val="11"/>
          <w:lang w:val="en-US" w:eastAsia="en-US"/>
        </w:rPr>
        <w:t>人</w:t>
      </w:r>
      <w:r>
        <w:rPr>
          <w:rFonts w:hint="eastAsia"/>
          <w:spacing w:val="11"/>
          <w:lang w:val="en-US" w:eastAsia="zh-CN"/>
        </w:rPr>
        <w:t>。</w:t>
      </w:r>
    </w:p>
    <w:p>
      <w:pPr>
        <w:pStyle w:val="3"/>
        <w:spacing w:before="242" w:line="372" w:lineRule="auto"/>
        <w:ind w:left="35" w:right="16" w:firstLine="643"/>
        <w:jc w:val="both"/>
        <w:rPr>
          <w:b/>
          <w:bCs/>
          <w:spacing w:val="4"/>
        </w:rPr>
      </w:pPr>
    </w:p>
    <w:p>
      <w:pPr>
        <w:pStyle w:val="3"/>
        <w:spacing w:before="242" w:line="372" w:lineRule="auto"/>
        <w:ind w:right="16" w:firstLine="1596" w:firstLineChars="500"/>
        <w:jc w:val="both"/>
      </w:pPr>
      <w:r>
        <w:rPr>
          <w:b/>
          <w:bCs/>
          <w:spacing w:val="4"/>
        </w:rPr>
        <w:t>第二部分</w:t>
      </w:r>
      <w:r>
        <w:rPr>
          <w:spacing w:val="4"/>
        </w:rPr>
        <w:t xml:space="preserve">  </w:t>
      </w:r>
      <w:r>
        <w:rPr>
          <w:rFonts w:hint="eastAsia"/>
          <w:b/>
          <w:bCs/>
          <w:spacing w:val="4"/>
          <w:lang w:val="en-US" w:eastAsia="zh-CN"/>
        </w:rPr>
        <w:t>财政局2024</w:t>
      </w:r>
      <w:r>
        <w:rPr>
          <w:b/>
          <w:bCs/>
          <w:spacing w:val="4"/>
        </w:rPr>
        <w:t>年部门预算表</w:t>
      </w:r>
    </w:p>
    <w:p>
      <w:pPr>
        <w:pStyle w:val="3"/>
        <w:spacing w:before="170" w:line="226" w:lineRule="auto"/>
        <w:ind w:left="680" w:firstLine="2528" w:firstLineChars="800"/>
        <w:jc w:val="both"/>
        <w:rPr>
          <w:rFonts w:hint="default" w:eastAsia="仿宋"/>
          <w:lang w:val="en-US" w:eastAsia="zh-CN"/>
        </w:rPr>
      </w:pPr>
      <w:r>
        <w:rPr>
          <w:spacing w:val="3"/>
        </w:rPr>
        <w:t>（详见附表）</w:t>
      </w:r>
      <w:r>
        <w:rPr>
          <w:rFonts w:hint="eastAsia"/>
          <w:spacing w:val="3"/>
          <w:lang w:val="en-US" w:eastAsia="zh-CN"/>
        </w:rPr>
        <w:t xml:space="preserve">  </w:t>
      </w:r>
    </w:p>
    <w:p>
      <w:pPr>
        <w:spacing w:line="283" w:lineRule="auto"/>
        <w:jc w:val="center"/>
        <w:rPr>
          <w:rFonts w:ascii="Arial"/>
          <w:sz w:val="21"/>
        </w:rPr>
      </w:pPr>
    </w:p>
    <w:p>
      <w:pPr>
        <w:pStyle w:val="3"/>
        <w:spacing w:before="101" w:line="222" w:lineRule="auto"/>
        <w:ind w:firstLine="642" w:firstLineChars="200"/>
        <w:jc w:val="center"/>
        <w:rPr>
          <w:b/>
          <w:bCs/>
          <w:spacing w:val="5"/>
        </w:rPr>
      </w:pPr>
    </w:p>
    <w:p>
      <w:pPr>
        <w:pStyle w:val="3"/>
        <w:spacing w:before="101" w:line="222" w:lineRule="auto"/>
        <w:ind w:firstLine="964" w:firstLineChars="300"/>
        <w:jc w:val="center"/>
      </w:pPr>
      <w:r>
        <w:rPr>
          <w:b/>
          <w:bCs/>
          <w:spacing w:val="5"/>
        </w:rPr>
        <w:t>第三部分</w:t>
      </w:r>
      <w:r>
        <w:rPr>
          <w:spacing w:val="5"/>
        </w:rPr>
        <w:t xml:space="preserve"> </w:t>
      </w:r>
      <w:r>
        <w:rPr>
          <w:spacing w:val="4"/>
        </w:rPr>
        <w:t xml:space="preserve"> </w:t>
      </w:r>
      <w:r>
        <w:rPr>
          <w:rFonts w:hint="eastAsia"/>
          <w:b/>
          <w:bCs/>
          <w:spacing w:val="4"/>
          <w:lang w:val="en-US" w:eastAsia="zh-CN"/>
        </w:rPr>
        <w:t>财政局2024</w:t>
      </w:r>
      <w:r>
        <w:rPr>
          <w:b/>
          <w:bCs/>
          <w:spacing w:val="4"/>
        </w:rPr>
        <w:t>年</w:t>
      </w:r>
      <w:r>
        <w:rPr>
          <w:b/>
          <w:bCs/>
          <w:spacing w:val="5"/>
        </w:rPr>
        <w:t>部门预算情况说明</w:t>
      </w:r>
    </w:p>
    <w:p>
      <w:pPr>
        <w:spacing w:line="342" w:lineRule="auto"/>
        <w:rPr>
          <w:rFonts w:ascii="Arial"/>
          <w:sz w:val="21"/>
        </w:rPr>
      </w:pPr>
    </w:p>
    <w:p>
      <w:pPr>
        <w:spacing w:line="342" w:lineRule="auto"/>
        <w:rPr>
          <w:rFonts w:ascii="Arial"/>
          <w:sz w:val="21"/>
        </w:rPr>
      </w:pPr>
    </w:p>
    <w:p>
      <w:pPr>
        <w:spacing w:before="101" w:line="221" w:lineRule="auto"/>
        <w:rPr>
          <w:rFonts w:ascii="楷体" w:hAnsi="楷体" w:eastAsia="楷体" w:cs="楷体"/>
          <w:b/>
          <w:bCs/>
          <w:spacing w:val="6"/>
          <w:sz w:val="31"/>
          <w:szCs w:val="31"/>
        </w:rPr>
      </w:pPr>
      <w:r>
        <w:rPr>
          <w:rFonts w:ascii="楷体" w:hAnsi="楷体" w:eastAsia="楷体" w:cs="楷体"/>
          <w:b/>
          <w:bCs/>
          <w:spacing w:val="6"/>
          <w:sz w:val="31"/>
          <w:szCs w:val="31"/>
        </w:rPr>
        <w:t>一、</w:t>
      </w:r>
      <w:r>
        <w:rPr>
          <w:rFonts w:hint="eastAsia" w:ascii="楷体" w:hAnsi="楷体" w:eastAsia="楷体" w:cs="楷体"/>
          <w:b/>
          <w:bCs/>
          <w:spacing w:val="6"/>
          <w:sz w:val="31"/>
          <w:szCs w:val="31"/>
          <w:lang w:val="en-US" w:eastAsia="zh-CN"/>
        </w:rPr>
        <w:t>2024</w:t>
      </w:r>
      <w:r>
        <w:rPr>
          <w:rFonts w:ascii="楷体" w:hAnsi="楷体" w:eastAsia="楷体" w:cs="楷体"/>
          <w:b/>
          <w:bCs/>
          <w:spacing w:val="6"/>
          <w:sz w:val="31"/>
          <w:szCs w:val="31"/>
        </w:rPr>
        <w:t>年部门预算收支情况说明</w:t>
      </w:r>
    </w:p>
    <w:p>
      <w:pPr>
        <w:bidi w:val="0"/>
        <w:rPr>
          <w:rFonts w:ascii="Arial" w:hAnsi="Arial" w:eastAsia="Arial" w:cs="Arial"/>
          <w:snapToGrid w:val="0"/>
          <w:color w:val="000000"/>
          <w:kern w:val="0"/>
          <w:sz w:val="21"/>
          <w:szCs w:val="21"/>
          <w:lang w:val="en-US" w:eastAsia="en-US" w:bidi="ar-SA"/>
        </w:rPr>
      </w:pPr>
    </w:p>
    <w:p>
      <w:pPr>
        <w:bidi w:val="0"/>
        <w:rPr>
          <w:lang w:val="en-US" w:eastAsia="en-US"/>
        </w:rPr>
      </w:pPr>
    </w:p>
    <w:p>
      <w:pPr>
        <w:bidi w:val="0"/>
        <w:rPr>
          <w:lang w:val="en-US" w:eastAsia="en-US"/>
        </w:rPr>
      </w:pPr>
    </w:p>
    <w:p>
      <w:pPr>
        <w:pStyle w:val="3"/>
        <w:numPr>
          <w:ilvl w:val="0"/>
          <w:numId w:val="1"/>
        </w:numPr>
        <w:spacing w:before="101" w:line="222" w:lineRule="auto"/>
      </w:pPr>
      <w:r>
        <w:rPr>
          <w:b/>
          <w:bCs/>
          <w:spacing w:val="-3"/>
        </w:rPr>
        <w:t>收入预算情况</w:t>
      </w:r>
    </w:p>
    <w:p>
      <w:pPr>
        <w:pStyle w:val="3"/>
        <w:spacing w:before="244" w:line="372" w:lineRule="auto"/>
        <w:ind w:right="13" w:firstLine="664" w:firstLineChars="200"/>
        <w:jc w:val="both"/>
        <w:rPr>
          <w:rFonts w:hint="eastAsia" w:eastAsia="仿宋"/>
          <w:lang w:eastAsia="zh-CN"/>
        </w:rPr>
      </w:pPr>
      <w:r>
        <w:rPr>
          <w:rFonts w:hint="eastAsia"/>
          <w:spacing w:val="11"/>
          <w:lang w:val="en-US" w:eastAsia="zh-CN"/>
        </w:rPr>
        <w:t>新建区财政局2024</w:t>
      </w:r>
      <w:r>
        <w:rPr>
          <w:spacing w:val="11"/>
        </w:rPr>
        <w:t>年部门收入预算总额为</w:t>
      </w:r>
      <w:r>
        <w:rPr>
          <w:rFonts w:hint="eastAsia"/>
          <w:spacing w:val="11"/>
          <w:lang w:val="en-US" w:eastAsia="zh-CN"/>
        </w:rPr>
        <w:t>2901.74</w:t>
      </w:r>
      <w:r>
        <w:rPr>
          <w:spacing w:val="11"/>
        </w:rPr>
        <w:t>万元,较上年预算安排减少</w:t>
      </w:r>
      <w:r>
        <w:rPr>
          <w:rFonts w:hint="eastAsia"/>
          <w:spacing w:val="11"/>
          <w:lang w:val="en-US" w:eastAsia="zh-CN"/>
        </w:rPr>
        <w:t>25.28</w:t>
      </w:r>
      <w:r>
        <w:rPr>
          <w:spacing w:val="11"/>
        </w:rPr>
        <w:t>万元，其中：财政拨款收入</w:t>
      </w:r>
      <w:r>
        <w:rPr>
          <w:rFonts w:hint="eastAsia"/>
          <w:spacing w:val="12"/>
          <w:lang w:val="en-US" w:eastAsia="zh-CN"/>
        </w:rPr>
        <w:t>2701.74</w:t>
      </w:r>
      <w:r>
        <w:rPr>
          <w:spacing w:val="12"/>
        </w:rPr>
        <w:t>万元,较上年预算安排增加</w:t>
      </w:r>
      <w:r>
        <w:rPr>
          <w:rFonts w:hint="eastAsia"/>
          <w:spacing w:val="12"/>
          <w:lang w:val="en-US" w:eastAsia="zh-CN"/>
        </w:rPr>
        <w:t>74.72</w:t>
      </w:r>
      <w:r>
        <w:rPr>
          <w:spacing w:val="12"/>
        </w:rPr>
        <w:t xml:space="preserve">万元;其他收入 </w:t>
      </w:r>
      <w:r>
        <w:rPr>
          <w:rFonts w:hint="eastAsia"/>
          <w:spacing w:val="12"/>
          <w:lang w:val="en-US" w:eastAsia="zh-CN"/>
        </w:rPr>
        <w:t>200</w:t>
      </w:r>
      <w:r>
        <w:rPr>
          <w:spacing w:val="12"/>
        </w:rPr>
        <w:t>万元，较上年预算</w:t>
      </w:r>
      <w:r>
        <w:rPr>
          <w:spacing w:val="18"/>
        </w:rPr>
        <w:t>安排减少</w:t>
      </w:r>
      <w:r>
        <w:rPr>
          <w:rFonts w:hint="eastAsia"/>
          <w:spacing w:val="18"/>
          <w:lang w:val="en-US" w:eastAsia="zh-CN"/>
        </w:rPr>
        <w:t>100</w:t>
      </w:r>
      <w:r>
        <w:rPr>
          <w:spacing w:val="7"/>
        </w:rPr>
        <w:t>万元</w:t>
      </w:r>
      <w:r>
        <w:rPr>
          <w:rFonts w:hint="eastAsia"/>
          <w:spacing w:val="7"/>
          <w:lang w:eastAsia="zh-CN"/>
        </w:rPr>
        <w:t>。</w:t>
      </w:r>
    </w:p>
    <w:p>
      <w:pPr>
        <w:pStyle w:val="3"/>
        <w:numPr>
          <w:ilvl w:val="0"/>
          <w:numId w:val="1"/>
        </w:numPr>
        <w:spacing w:before="251" w:line="222" w:lineRule="auto"/>
        <w:ind w:left="0" w:leftChars="0" w:firstLine="0" w:firstLineChars="0"/>
      </w:pPr>
      <w:r>
        <w:rPr>
          <w:b/>
          <w:bCs/>
          <w:spacing w:val="-3"/>
        </w:rPr>
        <w:t>支出预算情况</w:t>
      </w:r>
    </w:p>
    <w:p>
      <w:pPr>
        <w:pStyle w:val="3"/>
        <w:spacing w:before="250" w:line="372" w:lineRule="auto"/>
        <w:ind w:right="16" w:firstLine="664" w:firstLineChars="200"/>
        <w:jc w:val="both"/>
      </w:pPr>
      <w:r>
        <w:rPr>
          <w:rFonts w:hint="eastAsia"/>
          <w:spacing w:val="11"/>
          <w:lang w:val="en-US" w:eastAsia="zh-CN"/>
        </w:rPr>
        <w:t>2024</w:t>
      </w:r>
      <w:r>
        <w:rPr>
          <w:spacing w:val="11"/>
        </w:rPr>
        <w:t>年</w:t>
      </w:r>
      <w:r>
        <w:rPr>
          <w:rFonts w:hint="eastAsia"/>
          <w:spacing w:val="11"/>
          <w:lang w:val="en-US" w:eastAsia="zh-CN"/>
        </w:rPr>
        <w:t>财政局</w:t>
      </w:r>
      <w:r>
        <w:rPr>
          <w:spacing w:val="11"/>
        </w:rPr>
        <w:t>支出预算总额为</w:t>
      </w:r>
      <w:r>
        <w:rPr>
          <w:spacing w:val="-145"/>
        </w:rPr>
        <w:t xml:space="preserve"> </w:t>
      </w:r>
      <w:r>
        <w:rPr>
          <w:rFonts w:hint="eastAsia"/>
          <w:spacing w:val="11"/>
          <w:lang w:val="en-US" w:eastAsia="zh-CN"/>
        </w:rPr>
        <w:t>2901.74</w:t>
      </w:r>
      <w:r>
        <w:rPr>
          <w:spacing w:val="11"/>
        </w:rPr>
        <w:t>万元,较上年预算安排</w:t>
      </w:r>
      <w:r>
        <w:rPr>
          <w:spacing w:val="5"/>
        </w:rPr>
        <w:t>减少</w:t>
      </w:r>
      <w:r>
        <w:rPr>
          <w:rFonts w:hint="eastAsia"/>
          <w:spacing w:val="5"/>
          <w:lang w:val="en-US" w:eastAsia="zh-CN"/>
        </w:rPr>
        <w:t>25.28</w:t>
      </w:r>
      <w:r>
        <w:rPr>
          <w:spacing w:val="5"/>
        </w:rPr>
        <w:t>万元;其中：</w:t>
      </w:r>
    </w:p>
    <w:p>
      <w:pPr>
        <w:pStyle w:val="3"/>
        <w:spacing w:before="242" w:line="372" w:lineRule="auto"/>
        <w:ind w:right="18" w:firstLine="668" w:firstLineChars="200"/>
        <w:jc w:val="both"/>
        <w:rPr>
          <w:spacing w:val="13"/>
        </w:rPr>
      </w:pPr>
      <w:r>
        <w:rPr>
          <w:spacing w:val="12"/>
        </w:rPr>
        <w:t>按支出项目类别划分：基本支出</w:t>
      </w:r>
      <w:r>
        <w:rPr>
          <w:rFonts w:hint="eastAsia"/>
          <w:spacing w:val="12"/>
          <w:lang w:val="en-US" w:eastAsia="zh-CN"/>
        </w:rPr>
        <w:t>2651.74</w:t>
      </w:r>
      <w:r>
        <w:rPr>
          <w:spacing w:val="12"/>
        </w:rPr>
        <w:t>万元,较上年预算安排增加</w:t>
      </w:r>
      <w:r>
        <w:rPr>
          <w:rFonts w:hint="eastAsia"/>
          <w:spacing w:val="12"/>
          <w:lang w:val="en-US" w:eastAsia="zh-CN"/>
        </w:rPr>
        <w:t>24.72</w:t>
      </w:r>
      <w:r>
        <w:rPr>
          <w:spacing w:val="12"/>
        </w:rPr>
        <w:t>万元;其中：工资福利支出</w:t>
      </w:r>
      <w:r>
        <w:rPr>
          <w:rFonts w:hint="eastAsia"/>
          <w:spacing w:val="12"/>
          <w:lang w:val="en-US" w:eastAsia="zh-CN"/>
        </w:rPr>
        <w:t>2282.82</w:t>
      </w:r>
      <w:r>
        <w:rPr>
          <w:spacing w:val="12"/>
        </w:rPr>
        <w:t>万元, 商品和服务支出</w:t>
      </w:r>
      <w:r>
        <w:rPr>
          <w:rFonts w:hint="eastAsia"/>
          <w:spacing w:val="12"/>
          <w:lang w:val="en-US" w:eastAsia="zh-CN"/>
        </w:rPr>
        <w:t>324.63</w:t>
      </w:r>
      <w:r>
        <w:rPr>
          <w:spacing w:val="12"/>
        </w:rPr>
        <w:t>万元,对个人和家庭的补助</w:t>
      </w:r>
      <w:r>
        <w:rPr>
          <w:rFonts w:hint="eastAsia"/>
          <w:spacing w:val="12"/>
          <w:lang w:val="en-US" w:eastAsia="zh-CN"/>
        </w:rPr>
        <w:t>3.79</w:t>
      </w:r>
      <w:r>
        <w:rPr>
          <w:spacing w:val="12"/>
        </w:rPr>
        <w:t>万元, 资本性支出</w:t>
      </w:r>
      <w:r>
        <w:rPr>
          <w:rFonts w:hint="eastAsia"/>
          <w:spacing w:val="12"/>
          <w:lang w:val="en-US" w:eastAsia="zh-CN"/>
        </w:rPr>
        <w:t>40.5</w:t>
      </w:r>
      <w:r>
        <w:rPr>
          <w:spacing w:val="12"/>
        </w:rPr>
        <w:t>万元；项目支出</w:t>
      </w:r>
      <w:r>
        <w:rPr>
          <w:rFonts w:hint="eastAsia"/>
          <w:spacing w:val="12"/>
          <w:lang w:val="en-US" w:eastAsia="zh-CN"/>
        </w:rPr>
        <w:t>250</w:t>
      </w:r>
      <w:r>
        <w:rPr>
          <w:spacing w:val="12"/>
        </w:rPr>
        <w:t>万元,较上年预算安</w:t>
      </w:r>
      <w:r>
        <w:rPr>
          <w:spacing w:val="13"/>
        </w:rPr>
        <w:t>排减少</w:t>
      </w:r>
      <w:r>
        <w:rPr>
          <w:rFonts w:hint="eastAsia"/>
          <w:spacing w:val="13"/>
          <w:lang w:val="en-US" w:eastAsia="zh-CN"/>
        </w:rPr>
        <w:t>500</w:t>
      </w:r>
      <w:r>
        <w:rPr>
          <w:spacing w:val="13"/>
        </w:rPr>
        <w:t>万元;其中：工资福利支出</w:t>
      </w:r>
      <w:r>
        <w:rPr>
          <w:rFonts w:hint="eastAsia"/>
          <w:spacing w:val="13"/>
          <w:lang w:val="en-US" w:eastAsia="zh-CN"/>
        </w:rPr>
        <w:t>0</w:t>
      </w:r>
      <w:r>
        <w:rPr>
          <w:spacing w:val="13"/>
        </w:rPr>
        <w:t>万元,商品和服务支出</w:t>
      </w:r>
      <w:r>
        <w:rPr>
          <w:rFonts w:hint="eastAsia"/>
          <w:spacing w:val="13"/>
          <w:lang w:val="en-US" w:eastAsia="zh-CN"/>
        </w:rPr>
        <w:t>250</w:t>
      </w:r>
      <w:r>
        <w:rPr>
          <w:spacing w:val="13"/>
        </w:rPr>
        <w:t>万元,对个人和家庭的补助</w:t>
      </w:r>
      <w:r>
        <w:rPr>
          <w:rFonts w:hint="eastAsia"/>
          <w:spacing w:val="13"/>
          <w:lang w:val="en-US" w:eastAsia="zh-CN"/>
        </w:rPr>
        <w:t>0</w:t>
      </w:r>
      <w:r>
        <w:rPr>
          <w:spacing w:val="13"/>
        </w:rPr>
        <w:t>万元,债务利息及费用支出</w:t>
      </w:r>
      <w:r>
        <w:rPr>
          <w:rFonts w:hint="eastAsia"/>
          <w:spacing w:val="13"/>
          <w:lang w:val="en-US" w:eastAsia="zh-CN"/>
        </w:rPr>
        <w:t>0</w:t>
      </w:r>
      <w:r>
        <w:rPr>
          <w:spacing w:val="13"/>
        </w:rPr>
        <w:t>万元，资本性支出（基本建设）</w:t>
      </w:r>
      <w:r>
        <w:rPr>
          <w:rFonts w:hint="eastAsia"/>
          <w:spacing w:val="13"/>
          <w:lang w:val="en-US" w:eastAsia="zh-CN"/>
        </w:rPr>
        <w:t>0</w:t>
      </w:r>
      <w:r>
        <w:rPr>
          <w:spacing w:val="13"/>
        </w:rPr>
        <w:t>万元,资本性支出</w:t>
      </w:r>
      <w:r>
        <w:rPr>
          <w:rFonts w:hint="eastAsia"/>
          <w:spacing w:val="13"/>
          <w:lang w:val="en-US" w:eastAsia="zh-CN"/>
        </w:rPr>
        <w:t>0</w:t>
      </w:r>
      <w:r>
        <w:rPr>
          <w:spacing w:val="13"/>
        </w:rPr>
        <w:t>万元，对企业补助</w:t>
      </w:r>
      <w:r>
        <w:rPr>
          <w:rFonts w:hint="eastAsia"/>
          <w:spacing w:val="13"/>
          <w:lang w:val="en-US" w:eastAsia="zh-CN"/>
        </w:rPr>
        <w:t>0</w:t>
      </w:r>
      <w:r>
        <w:rPr>
          <w:spacing w:val="13"/>
        </w:rPr>
        <w:t>万元，其他支出</w:t>
      </w:r>
      <w:r>
        <w:rPr>
          <w:rFonts w:hint="eastAsia"/>
          <w:spacing w:val="13"/>
          <w:lang w:val="en-US" w:eastAsia="zh-CN"/>
        </w:rPr>
        <w:t>0</w:t>
      </w:r>
      <w:r>
        <w:rPr>
          <w:spacing w:val="13"/>
        </w:rPr>
        <w:t>万元。</w:t>
      </w:r>
    </w:p>
    <w:p>
      <w:pPr>
        <w:pStyle w:val="3"/>
        <w:spacing w:before="242" w:line="372" w:lineRule="auto"/>
        <w:ind w:right="18" w:firstLine="668" w:firstLineChars="200"/>
        <w:jc w:val="both"/>
        <w:rPr>
          <w:spacing w:val="12"/>
        </w:rPr>
      </w:pPr>
    </w:p>
    <w:p>
      <w:pPr>
        <w:pStyle w:val="3"/>
        <w:spacing w:before="242" w:line="372" w:lineRule="auto"/>
        <w:ind w:right="18" w:firstLine="668" w:firstLineChars="200"/>
        <w:jc w:val="both"/>
        <w:rPr>
          <w:spacing w:val="12"/>
        </w:rPr>
      </w:pPr>
      <w:r>
        <w:rPr>
          <w:spacing w:val="12"/>
        </w:rPr>
        <w:t>按支出功能科目划分：一般公共服务支出</w:t>
      </w:r>
      <w:r>
        <w:rPr>
          <w:rFonts w:hint="eastAsia"/>
          <w:spacing w:val="12"/>
          <w:lang w:val="en-US" w:eastAsia="zh-CN"/>
        </w:rPr>
        <w:t>2273.48</w:t>
      </w:r>
      <w:r>
        <w:rPr>
          <w:spacing w:val="12"/>
        </w:rPr>
        <w:t>万元,较上年预算安排减少</w:t>
      </w:r>
      <w:r>
        <w:rPr>
          <w:rFonts w:hint="eastAsia"/>
          <w:spacing w:val="12"/>
          <w:lang w:val="en-US" w:eastAsia="zh-CN"/>
        </w:rPr>
        <w:t>91.25</w:t>
      </w:r>
      <w:r>
        <w:rPr>
          <w:spacing w:val="12"/>
        </w:rPr>
        <w:t>万元;社会保障和就业支出</w:t>
      </w:r>
      <w:r>
        <w:rPr>
          <w:rFonts w:hint="eastAsia"/>
          <w:spacing w:val="12"/>
          <w:lang w:val="en-US" w:eastAsia="zh-CN"/>
        </w:rPr>
        <w:t>229.17</w:t>
      </w:r>
      <w:r>
        <w:rPr>
          <w:spacing w:val="12"/>
        </w:rPr>
        <w:t>万元,较上年预算安排减少</w:t>
      </w:r>
      <w:r>
        <w:rPr>
          <w:rFonts w:hint="eastAsia"/>
          <w:spacing w:val="12"/>
          <w:lang w:val="en-US" w:eastAsia="zh-CN"/>
        </w:rPr>
        <w:t>244.5</w:t>
      </w:r>
      <w:r>
        <w:rPr>
          <w:spacing w:val="12"/>
        </w:rPr>
        <w:t>万元;卫生健康支出</w:t>
      </w:r>
      <w:r>
        <w:rPr>
          <w:rFonts w:hint="eastAsia"/>
          <w:spacing w:val="12"/>
          <w:lang w:val="en-US" w:eastAsia="zh-CN"/>
        </w:rPr>
        <w:t>202.47</w:t>
      </w:r>
      <w:r>
        <w:rPr>
          <w:spacing w:val="12"/>
        </w:rPr>
        <w:t>万元,较上年预算安排增加</w:t>
      </w:r>
      <w:r>
        <w:rPr>
          <w:rFonts w:hint="eastAsia"/>
          <w:spacing w:val="12"/>
          <w:lang w:val="en-US" w:eastAsia="zh-CN"/>
        </w:rPr>
        <w:t>75.84</w:t>
      </w:r>
      <w:r>
        <w:rPr>
          <w:spacing w:val="12"/>
        </w:rPr>
        <w:t>万元;住房保障支出</w:t>
      </w:r>
      <w:r>
        <w:rPr>
          <w:rFonts w:hint="eastAsia"/>
          <w:spacing w:val="12"/>
          <w:lang w:val="en-US" w:eastAsia="zh-CN"/>
        </w:rPr>
        <w:t>196.63</w:t>
      </w:r>
      <w:r>
        <w:rPr>
          <w:spacing w:val="12"/>
        </w:rPr>
        <w:t>万元,较上年预算安排增加</w:t>
      </w:r>
      <w:r>
        <w:rPr>
          <w:rFonts w:hint="eastAsia"/>
          <w:spacing w:val="12"/>
          <w:lang w:val="en-US" w:eastAsia="zh-CN"/>
        </w:rPr>
        <w:t>34.64</w:t>
      </w:r>
      <w:r>
        <w:rPr>
          <w:spacing w:val="12"/>
        </w:rPr>
        <w:t>万元。</w:t>
      </w:r>
    </w:p>
    <w:p>
      <w:pPr>
        <w:pStyle w:val="3"/>
        <w:spacing w:before="242" w:line="372" w:lineRule="auto"/>
        <w:ind w:right="18" w:firstLine="668" w:firstLineChars="200"/>
        <w:jc w:val="both"/>
        <w:rPr>
          <w:rFonts w:hint="eastAsia"/>
          <w:spacing w:val="12"/>
          <w:lang w:val="en-US" w:eastAsia="zh-CN"/>
        </w:rPr>
      </w:pPr>
      <w:r>
        <w:rPr>
          <w:spacing w:val="12"/>
        </w:rPr>
        <w:t>按支出经济分类划分：工资福利支出</w:t>
      </w:r>
      <w:r>
        <w:rPr>
          <w:rFonts w:hint="eastAsia"/>
          <w:spacing w:val="12"/>
          <w:lang w:val="en-US" w:eastAsia="zh-CN"/>
        </w:rPr>
        <w:t>2282.82</w:t>
      </w:r>
      <w:r>
        <w:rPr>
          <w:spacing w:val="12"/>
        </w:rPr>
        <w:t>万元,较上年预算安排增加</w:t>
      </w:r>
      <w:r>
        <w:rPr>
          <w:rFonts w:hint="eastAsia"/>
          <w:spacing w:val="12"/>
          <w:lang w:val="en-US" w:eastAsia="zh-CN"/>
        </w:rPr>
        <w:t>421.09</w:t>
      </w:r>
      <w:r>
        <w:rPr>
          <w:spacing w:val="12"/>
        </w:rPr>
        <w:t>万元;商</w:t>
      </w:r>
      <w:r>
        <w:rPr>
          <w:rFonts w:hint="eastAsia"/>
          <w:spacing w:val="12"/>
          <w:lang w:val="en-US" w:eastAsia="zh-CN"/>
        </w:rPr>
        <w:t>品和服务支出324.63万元, 较上年预算安排增加266.17万元;对个人和家庭的补助3.79万元,较上年预算安排减少253.04万元</w:t>
      </w:r>
      <w:r>
        <w:rPr>
          <w:spacing w:val="12"/>
        </w:rPr>
        <w:t>;资本性支出</w:t>
      </w:r>
      <w:r>
        <w:rPr>
          <w:rFonts w:hint="eastAsia"/>
          <w:spacing w:val="12"/>
          <w:lang w:val="en-US" w:eastAsia="zh-CN"/>
        </w:rPr>
        <w:t>40.5</w:t>
      </w:r>
      <w:r>
        <w:rPr>
          <w:spacing w:val="12"/>
        </w:rPr>
        <w:t>万较</w:t>
      </w:r>
      <w:r>
        <w:rPr>
          <w:spacing w:val="13"/>
        </w:rPr>
        <w:t>上年预算安排减少</w:t>
      </w:r>
      <w:r>
        <w:rPr>
          <w:rFonts w:hint="eastAsia"/>
          <w:spacing w:val="13"/>
          <w:lang w:val="en-US" w:eastAsia="zh-CN"/>
        </w:rPr>
        <w:t>17.5</w:t>
      </w:r>
      <w:r>
        <w:rPr>
          <w:spacing w:val="13"/>
        </w:rPr>
        <w:t>万</w:t>
      </w:r>
      <w:r>
        <w:rPr>
          <w:rFonts w:hint="eastAsia"/>
          <w:spacing w:val="13"/>
          <w:lang w:val="en-US" w:eastAsia="zh-CN"/>
        </w:rPr>
        <w:t>元</w:t>
      </w:r>
      <w:r>
        <w:rPr>
          <w:rFonts w:hint="eastAsia"/>
          <w:spacing w:val="12"/>
          <w:lang w:val="en-US" w:eastAsia="zh-CN"/>
        </w:rPr>
        <w:t>。</w:t>
      </w:r>
    </w:p>
    <w:p>
      <w:pPr>
        <w:pStyle w:val="3"/>
        <w:spacing w:before="1" w:line="221" w:lineRule="auto"/>
        <w:jc w:val="right"/>
        <w:rPr>
          <w:rFonts w:hint="eastAsia"/>
          <w:spacing w:val="6"/>
          <w:lang w:val="en-US" w:eastAsia="zh-CN"/>
        </w:rPr>
      </w:pPr>
    </w:p>
    <w:p>
      <w:pPr>
        <w:pStyle w:val="3"/>
        <w:numPr>
          <w:ilvl w:val="0"/>
          <w:numId w:val="1"/>
        </w:numPr>
        <w:spacing w:before="252" w:line="222" w:lineRule="auto"/>
        <w:ind w:left="0" w:leftChars="0" w:firstLine="0" w:firstLineChars="0"/>
      </w:pPr>
      <w:r>
        <w:rPr>
          <w:b/>
          <w:bCs/>
          <w:spacing w:val="-1"/>
        </w:rPr>
        <w:t>财政拨款支出情况</w:t>
      </w:r>
    </w:p>
    <w:p>
      <w:pPr>
        <w:pStyle w:val="3"/>
        <w:spacing w:before="242" w:line="372" w:lineRule="auto"/>
        <w:ind w:left="21" w:right="18" w:firstLine="647"/>
        <w:jc w:val="both"/>
        <w:rPr>
          <w:spacing w:val="12"/>
        </w:rPr>
      </w:pPr>
      <w:r>
        <w:rPr>
          <w:rFonts w:hint="eastAsia"/>
          <w:spacing w:val="35"/>
          <w:lang w:val="en-US" w:eastAsia="zh-CN"/>
        </w:rPr>
        <w:t>2</w:t>
      </w:r>
      <w:r>
        <w:rPr>
          <w:rFonts w:hint="eastAsia"/>
          <w:spacing w:val="12"/>
          <w:lang w:val="en-US" w:eastAsia="zh-CN"/>
        </w:rPr>
        <w:t>024</w:t>
      </w:r>
      <w:r>
        <w:rPr>
          <w:spacing w:val="12"/>
        </w:rPr>
        <w:t>年</w:t>
      </w:r>
      <w:r>
        <w:rPr>
          <w:rFonts w:hint="eastAsia"/>
          <w:spacing w:val="12"/>
          <w:lang w:val="en-US" w:eastAsia="zh-CN"/>
        </w:rPr>
        <w:t>财政局</w:t>
      </w:r>
      <w:r>
        <w:rPr>
          <w:spacing w:val="12"/>
        </w:rPr>
        <w:t>财政拨款支出预算总额</w:t>
      </w:r>
      <w:r>
        <w:rPr>
          <w:rFonts w:hint="eastAsia"/>
          <w:spacing w:val="12"/>
          <w:lang w:val="en-US" w:eastAsia="zh-CN"/>
        </w:rPr>
        <w:t>2701.74</w:t>
      </w:r>
      <w:r>
        <w:rPr>
          <w:spacing w:val="12"/>
        </w:rPr>
        <w:t>万元,较上年预算安排增加</w:t>
      </w:r>
      <w:r>
        <w:rPr>
          <w:rFonts w:hint="eastAsia"/>
          <w:spacing w:val="12"/>
          <w:lang w:val="en-US" w:eastAsia="zh-CN"/>
        </w:rPr>
        <w:t>74.72</w:t>
      </w:r>
      <w:r>
        <w:rPr>
          <w:spacing w:val="12"/>
        </w:rPr>
        <w:t>万元;</w:t>
      </w:r>
    </w:p>
    <w:p>
      <w:pPr>
        <w:pStyle w:val="3"/>
        <w:spacing w:before="242" w:line="372" w:lineRule="auto"/>
        <w:ind w:left="21" w:right="18" w:firstLine="647"/>
        <w:jc w:val="both"/>
        <w:rPr>
          <w:spacing w:val="12"/>
        </w:rPr>
      </w:pPr>
      <w:r>
        <w:rPr>
          <w:spacing w:val="12"/>
        </w:rPr>
        <w:t>按支出功能科目划分：一般公共服务支出</w:t>
      </w:r>
      <w:r>
        <w:rPr>
          <w:rFonts w:hint="eastAsia"/>
          <w:spacing w:val="12"/>
          <w:lang w:val="en-US" w:eastAsia="zh-CN"/>
        </w:rPr>
        <w:t>2073.48</w:t>
      </w:r>
      <w:r>
        <w:rPr>
          <w:spacing w:val="12"/>
        </w:rPr>
        <w:t>万元，社会保障和就业支出</w:t>
      </w:r>
      <w:r>
        <w:rPr>
          <w:rFonts w:hint="eastAsia"/>
          <w:spacing w:val="12"/>
          <w:lang w:val="en-US" w:eastAsia="zh-CN"/>
        </w:rPr>
        <w:t>229.17</w:t>
      </w:r>
      <w:r>
        <w:rPr>
          <w:spacing w:val="12"/>
        </w:rPr>
        <w:t>万元,卫生健康支出</w:t>
      </w:r>
      <w:r>
        <w:rPr>
          <w:rFonts w:hint="eastAsia"/>
          <w:spacing w:val="12"/>
          <w:lang w:val="en-US" w:eastAsia="zh-CN"/>
        </w:rPr>
        <w:t>202.47</w:t>
      </w:r>
      <w:r>
        <w:rPr>
          <w:spacing w:val="12"/>
        </w:rPr>
        <w:t xml:space="preserve"> 万元,住房保障支出</w:t>
      </w:r>
      <w:r>
        <w:rPr>
          <w:rFonts w:hint="eastAsia"/>
          <w:spacing w:val="12"/>
          <w:lang w:val="en-US" w:eastAsia="zh-CN"/>
        </w:rPr>
        <w:t>196.63</w:t>
      </w:r>
      <w:r>
        <w:rPr>
          <w:spacing w:val="12"/>
        </w:rPr>
        <w:t>万元。</w:t>
      </w:r>
    </w:p>
    <w:p>
      <w:pPr>
        <w:pStyle w:val="3"/>
        <w:spacing w:before="242" w:line="372" w:lineRule="auto"/>
        <w:ind w:left="21" w:right="18" w:firstLine="647"/>
        <w:jc w:val="both"/>
        <w:rPr>
          <w:spacing w:val="12"/>
        </w:rPr>
      </w:pPr>
      <w:r>
        <w:rPr>
          <w:spacing w:val="12"/>
        </w:rPr>
        <w:t>按支出项目类别划分：基本支出</w:t>
      </w:r>
      <w:r>
        <w:rPr>
          <w:rFonts w:hint="eastAsia"/>
          <w:spacing w:val="12"/>
          <w:lang w:val="en-US" w:eastAsia="zh-CN"/>
        </w:rPr>
        <w:t>2651.74</w:t>
      </w:r>
      <w:r>
        <w:rPr>
          <w:spacing w:val="12"/>
        </w:rPr>
        <w:t>万元,较上年预算安排增加</w:t>
      </w:r>
      <w:r>
        <w:rPr>
          <w:rFonts w:hint="eastAsia"/>
          <w:spacing w:val="12"/>
          <w:lang w:val="en-US" w:eastAsia="zh-CN"/>
        </w:rPr>
        <w:t>24.72</w:t>
      </w:r>
      <w:r>
        <w:rPr>
          <w:spacing w:val="12"/>
        </w:rPr>
        <w:t>万元;其中：工资福利支出</w:t>
      </w:r>
      <w:r>
        <w:rPr>
          <w:rFonts w:hint="eastAsia"/>
          <w:spacing w:val="12"/>
          <w:lang w:val="en-US" w:eastAsia="zh-CN"/>
        </w:rPr>
        <w:t>2282.82</w:t>
      </w:r>
      <w:r>
        <w:rPr>
          <w:spacing w:val="12"/>
        </w:rPr>
        <w:t>万元,商品和服务支出</w:t>
      </w:r>
      <w:r>
        <w:rPr>
          <w:rFonts w:hint="eastAsia"/>
          <w:spacing w:val="12"/>
          <w:lang w:val="en-US" w:eastAsia="zh-CN"/>
        </w:rPr>
        <w:t>324.63</w:t>
      </w:r>
      <w:r>
        <w:rPr>
          <w:spacing w:val="12"/>
        </w:rPr>
        <w:t>万元,对个人和家庭的补助</w:t>
      </w:r>
      <w:r>
        <w:rPr>
          <w:rFonts w:hint="eastAsia"/>
          <w:spacing w:val="12"/>
          <w:lang w:val="en-US" w:eastAsia="zh-CN"/>
        </w:rPr>
        <w:t>3.79</w:t>
      </w:r>
      <w:r>
        <w:rPr>
          <w:spacing w:val="12"/>
        </w:rPr>
        <w:t>万元,</w:t>
      </w:r>
    </w:p>
    <w:p>
      <w:pPr>
        <w:pStyle w:val="3"/>
        <w:spacing w:before="242" w:line="372" w:lineRule="auto"/>
        <w:ind w:left="21" w:right="18" w:firstLine="647"/>
        <w:jc w:val="both"/>
        <w:rPr>
          <w:spacing w:val="12"/>
        </w:rPr>
      </w:pPr>
    </w:p>
    <w:p>
      <w:pPr>
        <w:pStyle w:val="3"/>
        <w:spacing w:before="242" w:line="372" w:lineRule="auto"/>
        <w:ind w:right="18"/>
        <w:jc w:val="both"/>
        <w:rPr>
          <w:spacing w:val="12"/>
        </w:rPr>
      </w:pPr>
    </w:p>
    <w:p>
      <w:pPr>
        <w:pStyle w:val="3"/>
        <w:spacing w:before="242" w:line="372" w:lineRule="auto"/>
        <w:ind w:right="18"/>
        <w:jc w:val="both"/>
        <w:rPr>
          <w:spacing w:val="12"/>
        </w:rPr>
      </w:pPr>
    </w:p>
    <w:p>
      <w:pPr>
        <w:pStyle w:val="3"/>
        <w:spacing w:before="242" w:line="372" w:lineRule="auto"/>
        <w:ind w:right="18"/>
        <w:jc w:val="both"/>
        <w:rPr>
          <w:spacing w:val="12"/>
        </w:rPr>
      </w:pPr>
      <w:r>
        <w:rPr>
          <w:spacing w:val="12"/>
        </w:rPr>
        <w:t>资本性支出</w:t>
      </w:r>
      <w:r>
        <w:rPr>
          <w:rFonts w:hint="eastAsia"/>
          <w:spacing w:val="12"/>
          <w:lang w:val="en-US" w:eastAsia="zh-CN"/>
        </w:rPr>
        <w:t>40.5</w:t>
      </w:r>
      <w:r>
        <w:rPr>
          <w:spacing w:val="12"/>
        </w:rPr>
        <w:t>万元；项目支出</w:t>
      </w:r>
      <w:r>
        <w:rPr>
          <w:rFonts w:hint="eastAsia"/>
          <w:spacing w:val="12"/>
          <w:lang w:val="en-US" w:eastAsia="zh-CN"/>
        </w:rPr>
        <w:t>50</w:t>
      </w:r>
      <w:r>
        <w:rPr>
          <w:spacing w:val="12"/>
        </w:rPr>
        <w:t>万元,较上年预算安排减少</w:t>
      </w:r>
      <w:r>
        <w:rPr>
          <w:rFonts w:hint="eastAsia"/>
          <w:spacing w:val="12"/>
          <w:lang w:val="en-US" w:eastAsia="zh-CN"/>
        </w:rPr>
        <w:t>700</w:t>
      </w:r>
      <w:r>
        <w:rPr>
          <w:spacing w:val="12"/>
        </w:rPr>
        <w:t>万元;其中：工资福利支出</w:t>
      </w:r>
      <w:r>
        <w:rPr>
          <w:rFonts w:hint="eastAsia"/>
          <w:spacing w:val="12"/>
          <w:lang w:val="en-US" w:eastAsia="zh-CN"/>
        </w:rPr>
        <w:t>0</w:t>
      </w:r>
      <w:r>
        <w:rPr>
          <w:spacing w:val="12"/>
        </w:rPr>
        <w:t>万元,商品和服务支出</w:t>
      </w:r>
      <w:r>
        <w:rPr>
          <w:rFonts w:hint="eastAsia"/>
          <w:spacing w:val="12"/>
          <w:lang w:val="en-US" w:eastAsia="zh-CN"/>
        </w:rPr>
        <w:t>50</w:t>
      </w:r>
      <w:r>
        <w:rPr>
          <w:spacing w:val="12"/>
        </w:rPr>
        <w:t>万元,对个人和家庭的补助</w:t>
      </w:r>
      <w:r>
        <w:rPr>
          <w:rFonts w:hint="eastAsia"/>
          <w:spacing w:val="12"/>
          <w:lang w:val="en-US" w:eastAsia="zh-CN"/>
        </w:rPr>
        <w:t>0</w:t>
      </w:r>
      <w:r>
        <w:rPr>
          <w:spacing w:val="12"/>
        </w:rPr>
        <w:t>万元,债务利息及费用支出</w:t>
      </w:r>
      <w:r>
        <w:rPr>
          <w:rFonts w:hint="eastAsia"/>
          <w:spacing w:val="12"/>
          <w:lang w:val="en-US" w:eastAsia="zh-CN"/>
        </w:rPr>
        <w:t>0</w:t>
      </w:r>
      <w:r>
        <w:rPr>
          <w:spacing w:val="12"/>
        </w:rPr>
        <w:t>万元，资本性支出（基本建设）</w:t>
      </w:r>
      <w:r>
        <w:rPr>
          <w:rFonts w:hint="eastAsia"/>
          <w:spacing w:val="12"/>
          <w:lang w:val="en-US" w:eastAsia="zh-CN"/>
        </w:rPr>
        <w:t>0</w:t>
      </w:r>
      <w:r>
        <w:rPr>
          <w:spacing w:val="12"/>
        </w:rPr>
        <w:t>万元,资本性支出</w:t>
      </w:r>
      <w:r>
        <w:rPr>
          <w:rFonts w:hint="eastAsia"/>
          <w:spacing w:val="12"/>
          <w:lang w:val="en-US" w:eastAsia="zh-CN"/>
        </w:rPr>
        <w:t>0</w:t>
      </w:r>
      <w:r>
        <w:rPr>
          <w:spacing w:val="12"/>
        </w:rPr>
        <w:t>万元。</w:t>
      </w:r>
    </w:p>
    <w:p>
      <w:pPr>
        <w:pStyle w:val="3"/>
        <w:numPr>
          <w:ilvl w:val="0"/>
          <w:numId w:val="2"/>
        </w:numPr>
        <w:spacing w:before="255" w:line="222" w:lineRule="auto"/>
        <w:rPr>
          <w:b/>
          <w:bCs/>
          <w:spacing w:val="-1"/>
        </w:rPr>
      </w:pPr>
      <w:r>
        <w:rPr>
          <w:b/>
          <w:bCs/>
          <w:spacing w:val="-1"/>
        </w:rPr>
        <w:t>政府性基金情况</w:t>
      </w:r>
    </w:p>
    <w:p>
      <w:pPr>
        <w:pStyle w:val="3"/>
        <w:spacing w:before="255" w:line="222" w:lineRule="auto"/>
        <w:ind w:left="734"/>
        <w:rPr>
          <w:rFonts w:hint="eastAsia" w:eastAsia="仿宋"/>
          <w:b/>
          <w:bCs/>
          <w:spacing w:val="7"/>
          <w:lang w:eastAsia="zh-CN"/>
        </w:rPr>
      </w:pPr>
      <w:r>
        <w:rPr>
          <w:rFonts w:hint="eastAsia"/>
          <w:b/>
          <w:bCs/>
          <w:spacing w:val="-1"/>
          <w:lang w:val="en-US" w:eastAsia="zh-CN"/>
        </w:rPr>
        <w:t>本部门没有</w:t>
      </w:r>
      <w:r>
        <w:rPr>
          <w:b/>
          <w:bCs/>
          <w:spacing w:val="-1"/>
        </w:rPr>
        <w:t>用政府性基金预算拨款安排的支出</w:t>
      </w:r>
      <w:r>
        <w:rPr>
          <w:rFonts w:hint="eastAsia"/>
          <w:b/>
          <w:bCs/>
          <w:spacing w:val="7"/>
          <w:lang w:eastAsia="zh-CN"/>
        </w:rPr>
        <w:t>。</w:t>
      </w:r>
    </w:p>
    <w:p>
      <w:pPr>
        <w:pStyle w:val="3"/>
        <w:numPr>
          <w:ilvl w:val="0"/>
          <w:numId w:val="3"/>
        </w:numPr>
        <w:spacing w:before="255" w:line="222" w:lineRule="auto"/>
        <w:rPr>
          <w:b/>
          <w:bCs/>
          <w:spacing w:val="-1"/>
        </w:rPr>
      </w:pPr>
      <w:r>
        <w:rPr>
          <w:b/>
          <w:bCs/>
          <w:spacing w:val="-1"/>
        </w:rPr>
        <w:t>国有资本经营情况</w:t>
      </w:r>
    </w:p>
    <w:p>
      <w:pPr>
        <w:bidi w:val="0"/>
      </w:pPr>
    </w:p>
    <w:p>
      <w:pPr>
        <w:bidi w:val="0"/>
        <w:ind w:firstLine="650" w:firstLineChars="200"/>
        <w:rPr>
          <w:rFonts w:hint="eastAsia" w:ascii="仿宋" w:hAnsi="仿宋" w:eastAsia="仿宋" w:cs="仿宋"/>
          <w:b/>
          <w:bCs/>
          <w:snapToGrid w:val="0"/>
          <w:color w:val="000000"/>
          <w:spacing w:val="7"/>
          <w:kern w:val="0"/>
          <w:sz w:val="31"/>
          <w:szCs w:val="31"/>
          <w:lang w:val="en-US" w:eastAsia="zh-CN" w:bidi="ar-SA"/>
        </w:rPr>
      </w:pPr>
      <w:r>
        <w:rPr>
          <w:rFonts w:hint="eastAsia" w:ascii="仿宋" w:hAnsi="仿宋" w:eastAsia="仿宋" w:cs="仿宋"/>
          <w:b/>
          <w:bCs/>
          <w:snapToGrid w:val="0"/>
          <w:color w:val="000000"/>
          <w:spacing w:val="7"/>
          <w:kern w:val="0"/>
          <w:sz w:val="31"/>
          <w:szCs w:val="31"/>
          <w:lang w:val="en-US" w:eastAsia="zh-CN" w:bidi="ar-SA"/>
        </w:rPr>
        <w:t>本部门没有用政府性基金预算拨款安排的支出</w:t>
      </w:r>
    </w:p>
    <w:p>
      <w:pPr>
        <w:pStyle w:val="3"/>
        <w:numPr>
          <w:ilvl w:val="0"/>
          <w:numId w:val="3"/>
        </w:numPr>
        <w:spacing w:before="251" w:line="221" w:lineRule="auto"/>
        <w:ind w:left="0" w:leftChars="0" w:firstLine="0" w:firstLineChars="0"/>
      </w:pPr>
      <w:r>
        <w:rPr>
          <w:b/>
          <w:bCs/>
          <w:spacing w:val="2"/>
        </w:rPr>
        <w:t>机关运行经费等重要事项的说明</w:t>
      </w:r>
    </w:p>
    <w:p>
      <w:pPr>
        <w:pStyle w:val="3"/>
        <w:spacing w:before="288" w:line="346" w:lineRule="auto"/>
        <w:ind w:left="36" w:right="16" w:firstLine="643"/>
      </w:pPr>
      <w:r>
        <w:rPr>
          <w:rFonts w:hint="eastAsia"/>
          <w:spacing w:val="12"/>
          <w:lang w:val="en-US" w:eastAsia="zh-CN"/>
        </w:rPr>
        <w:t>2024</w:t>
      </w:r>
      <w:r>
        <w:rPr>
          <w:spacing w:val="12"/>
        </w:rPr>
        <w:t>年部门机关运行费预算</w:t>
      </w:r>
      <w:r>
        <w:rPr>
          <w:rFonts w:hint="eastAsia"/>
          <w:spacing w:val="12"/>
          <w:lang w:val="en-US" w:eastAsia="zh-CN"/>
        </w:rPr>
        <w:t>360</w:t>
      </w:r>
      <w:r>
        <w:rPr>
          <w:spacing w:val="12"/>
        </w:rPr>
        <w:t>万元，比上年预算减少</w:t>
      </w:r>
      <w:r>
        <w:rPr>
          <w:rFonts w:hint="eastAsia"/>
          <w:spacing w:val="12"/>
          <w:lang w:val="en-US" w:eastAsia="zh-CN"/>
        </w:rPr>
        <w:t>90</w:t>
      </w:r>
      <w:r>
        <w:rPr>
          <w:spacing w:val="12"/>
        </w:rPr>
        <w:t>万元下降</w:t>
      </w:r>
      <w:r>
        <w:rPr>
          <w:rFonts w:hint="eastAsia"/>
          <w:spacing w:val="12"/>
          <w:lang w:val="en-US" w:eastAsia="zh-CN"/>
        </w:rPr>
        <w:t>20</w:t>
      </w:r>
      <w:r>
        <w:rPr>
          <w:spacing w:val="12"/>
        </w:rPr>
        <w:t>%，主要原因是</w:t>
      </w:r>
      <w:r>
        <w:rPr>
          <w:rFonts w:hint="eastAsia"/>
          <w:spacing w:val="12"/>
          <w:lang w:eastAsia="zh-CN"/>
        </w:rPr>
        <w:t>：</w:t>
      </w:r>
      <w:r>
        <w:rPr>
          <w:rFonts w:hint="eastAsia"/>
          <w:spacing w:val="12"/>
          <w:lang w:val="en-US" w:eastAsia="zh-CN"/>
        </w:rPr>
        <w:t>厉行节约，压缩公共支出</w:t>
      </w:r>
      <w:r>
        <w:rPr>
          <w:spacing w:val="12"/>
        </w:rPr>
        <w:t>。</w:t>
      </w:r>
    </w:p>
    <w:p>
      <w:pPr>
        <w:pStyle w:val="3"/>
        <w:numPr>
          <w:ilvl w:val="0"/>
          <w:numId w:val="3"/>
        </w:numPr>
        <w:spacing w:before="172" w:line="222" w:lineRule="auto"/>
        <w:ind w:left="0" w:leftChars="0" w:firstLine="0" w:firstLineChars="0"/>
      </w:pPr>
      <w:r>
        <w:rPr>
          <w:b/>
          <w:bCs/>
          <w:spacing w:val="-5"/>
        </w:rPr>
        <w:t>政府采购情况</w:t>
      </w:r>
    </w:p>
    <w:p>
      <w:pPr>
        <w:pStyle w:val="3"/>
        <w:spacing w:before="288" w:line="346" w:lineRule="auto"/>
        <w:ind w:left="36" w:right="16" w:firstLine="643"/>
        <w:rPr>
          <w:rFonts w:hint="eastAsia"/>
          <w:spacing w:val="12"/>
          <w:lang w:val="en-US" w:eastAsia="zh-CN"/>
        </w:rPr>
      </w:pPr>
      <w:r>
        <w:rPr>
          <w:rFonts w:hint="eastAsia"/>
          <w:spacing w:val="12"/>
          <w:lang w:val="en-US" w:eastAsia="zh-CN"/>
        </w:rPr>
        <w:t>2024年部门所属各单位政府采购总额61万元,其中: 政府采购货物预算40.5万元,政府采购工程预算0万元,政府采购服务预算20.5万元。</w:t>
      </w:r>
    </w:p>
    <w:p>
      <w:pPr>
        <w:pStyle w:val="3"/>
        <w:numPr>
          <w:ilvl w:val="0"/>
          <w:numId w:val="3"/>
        </w:numPr>
        <w:spacing w:before="248" w:line="222" w:lineRule="auto"/>
        <w:ind w:left="0" w:leftChars="0" w:firstLine="0" w:firstLineChars="0"/>
      </w:pPr>
      <w:r>
        <w:rPr>
          <w:b/>
          <w:bCs/>
        </w:rPr>
        <w:t>国有资产占有使用情况</w:t>
      </w:r>
    </w:p>
    <w:p>
      <w:pPr>
        <w:pStyle w:val="3"/>
        <w:spacing w:before="249" w:line="372" w:lineRule="auto"/>
        <w:ind w:left="29" w:right="15" w:firstLine="655"/>
        <w:rPr>
          <w:rFonts w:hint="eastAsia"/>
          <w:spacing w:val="11"/>
          <w:lang w:val="en-US" w:eastAsia="zh-CN"/>
        </w:rPr>
      </w:pPr>
      <w:r>
        <w:rPr>
          <w:rFonts w:hint="eastAsia"/>
          <w:spacing w:val="11"/>
          <w:lang w:val="en-US" w:eastAsia="zh-CN"/>
        </w:rPr>
        <w:t>截至2023年12月31日,部门共有车辆2辆,其中：一般公务用车实有数2辆。</w:t>
      </w:r>
    </w:p>
    <w:p>
      <w:pPr>
        <w:pStyle w:val="3"/>
        <w:spacing w:before="249" w:line="372" w:lineRule="auto"/>
        <w:ind w:left="29" w:right="15" w:firstLine="655"/>
        <w:rPr>
          <w:rFonts w:hint="default"/>
          <w:spacing w:val="-1"/>
          <w:lang w:val="en-US"/>
        </w:rPr>
      </w:pPr>
      <w:r>
        <w:rPr>
          <w:rFonts w:hint="eastAsia"/>
          <w:spacing w:val="11"/>
          <w:lang w:val="en-US" w:eastAsia="zh-CN"/>
        </w:rPr>
        <w:t>2024年部门预算安排购置车辆0辆，安排购置单位价值0元。</w:t>
      </w:r>
    </w:p>
    <w:p>
      <w:pPr>
        <w:pStyle w:val="3"/>
        <w:spacing w:line="222" w:lineRule="auto"/>
        <w:rPr>
          <w:b/>
          <w:bCs/>
          <w:spacing w:val="5"/>
        </w:rPr>
      </w:pPr>
    </w:p>
    <w:p>
      <w:pPr>
        <w:pStyle w:val="3"/>
        <w:spacing w:line="222" w:lineRule="auto"/>
        <w:rPr>
          <w:b/>
          <w:bCs/>
          <w:spacing w:val="5"/>
        </w:rPr>
      </w:pPr>
    </w:p>
    <w:p>
      <w:pPr>
        <w:pStyle w:val="3"/>
        <w:spacing w:line="222" w:lineRule="auto"/>
        <w:rPr>
          <w:b/>
          <w:bCs/>
          <w:spacing w:val="5"/>
        </w:rPr>
      </w:pPr>
    </w:p>
    <w:p>
      <w:pPr>
        <w:pStyle w:val="3"/>
        <w:spacing w:line="222" w:lineRule="auto"/>
        <w:rPr>
          <w:b/>
          <w:bCs/>
          <w:spacing w:val="5"/>
        </w:rPr>
      </w:pPr>
    </w:p>
    <w:p>
      <w:pPr>
        <w:pStyle w:val="3"/>
        <w:spacing w:line="222" w:lineRule="auto"/>
        <w:rPr>
          <w:b/>
          <w:bCs/>
          <w:spacing w:val="5"/>
        </w:rPr>
      </w:pPr>
    </w:p>
    <w:p>
      <w:pPr>
        <w:pStyle w:val="3"/>
        <w:spacing w:line="222" w:lineRule="auto"/>
        <w:rPr>
          <w:b/>
          <w:bCs/>
          <w:spacing w:val="5"/>
        </w:rPr>
      </w:pPr>
    </w:p>
    <w:p>
      <w:pPr>
        <w:pStyle w:val="3"/>
        <w:spacing w:line="222" w:lineRule="auto"/>
        <w:rPr>
          <w:b/>
          <w:bCs/>
          <w:spacing w:val="5"/>
        </w:rPr>
      </w:pPr>
    </w:p>
    <w:p>
      <w:pPr>
        <w:pStyle w:val="3"/>
        <w:spacing w:line="222" w:lineRule="auto"/>
      </w:pPr>
      <w:r>
        <w:rPr>
          <w:b/>
          <w:bCs/>
          <w:spacing w:val="5"/>
        </w:rPr>
        <w:t>（九）</w:t>
      </w:r>
      <w:r>
        <w:rPr>
          <w:rFonts w:hint="eastAsia"/>
          <w:b/>
          <w:bCs/>
          <w:lang w:val="en-US" w:eastAsia="zh-CN"/>
        </w:rPr>
        <w:t>机关工作经费</w:t>
      </w:r>
      <w:r>
        <w:rPr>
          <w:b/>
          <w:bCs/>
          <w:spacing w:val="5"/>
        </w:rPr>
        <w:t>项目情况说明</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1.</w:t>
      </w:r>
      <w:r>
        <w:rPr>
          <w:rFonts w:hint="eastAsia" w:ascii="Times New Roman" w:hAnsi="Times New Roman" w:eastAsia="仿宋_GB2312" w:cs="Times New Roman"/>
          <w:spacing w:val="10"/>
          <w:sz w:val="32"/>
          <w:szCs w:val="32"/>
          <w:lang w:val="en-US" w:eastAsia="zh-CN"/>
        </w:rPr>
        <w:t>局机关运行经费</w:t>
      </w:r>
      <w:r>
        <w:rPr>
          <w:rFonts w:hint="eastAsia" w:ascii="Times New Roman" w:hAnsi="Times New Roman" w:eastAsia="仿宋_GB2312" w:cs="仿宋_GB2312"/>
          <w:spacing w:val="10"/>
          <w:sz w:val="32"/>
          <w:szCs w:val="32"/>
        </w:rPr>
        <w:t>项目</w:t>
      </w:r>
    </w:p>
    <w:p>
      <w:pPr>
        <w:spacing w:line="560" w:lineRule="exact"/>
        <w:ind w:firstLine="680" w:firstLineChars="200"/>
        <w:rPr>
          <w:rFonts w:hint="default" w:ascii="Times New Roman" w:hAnsi="Times New Roman" w:eastAsia="仿宋_GB2312"/>
          <w:spacing w:val="10"/>
          <w:sz w:val="32"/>
          <w:szCs w:val="32"/>
          <w:lang w:val="en-US" w:eastAsia="zh-CN"/>
        </w:rPr>
      </w:pPr>
      <w:r>
        <w:rPr>
          <w:rFonts w:ascii="Times New Roman" w:hAnsi="Times New Roman" w:eastAsia="仿宋_GB2312" w:cs="Times New Roman"/>
          <w:spacing w:val="10"/>
          <w:sz w:val="32"/>
          <w:szCs w:val="32"/>
        </w:rPr>
        <w:t>1</w:t>
      </w:r>
      <w:r>
        <w:rPr>
          <w:rFonts w:hint="eastAsia" w:ascii="Times New Roman" w:hAnsi="Times New Roman" w:eastAsia="仿宋_GB2312" w:cs="仿宋_GB2312"/>
          <w:spacing w:val="10"/>
          <w:sz w:val="32"/>
          <w:szCs w:val="32"/>
        </w:rPr>
        <w:t xml:space="preserve">）项目概述   </w:t>
      </w:r>
      <w:r>
        <w:rPr>
          <w:rFonts w:hint="eastAsia" w:ascii="Times New Roman" w:hAnsi="Times New Roman" w:eastAsia="仿宋_GB2312" w:cs="仿宋_GB2312"/>
          <w:spacing w:val="10"/>
          <w:sz w:val="32"/>
          <w:szCs w:val="32"/>
          <w:lang w:val="en-US" w:eastAsia="zh-CN"/>
        </w:rPr>
        <w:t>机关工作经费</w:t>
      </w:r>
    </w:p>
    <w:p>
      <w:pPr>
        <w:tabs>
          <w:tab w:val="left" w:pos="3176"/>
        </w:tabs>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2</w:t>
      </w:r>
      <w:r>
        <w:rPr>
          <w:rFonts w:hint="eastAsia" w:ascii="Times New Roman" w:hAnsi="Times New Roman" w:eastAsia="仿宋_GB2312" w:cs="仿宋_GB2312"/>
          <w:spacing w:val="10"/>
          <w:sz w:val="32"/>
          <w:szCs w:val="32"/>
        </w:rPr>
        <w:t>）立项依据   工作需求</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 xml:space="preserve">3) </w:t>
      </w:r>
      <w:r>
        <w:rPr>
          <w:rFonts w:hint="eastAsia" w:ascii="Times New Roman" w:hAnsi="Times New Roman" w:eastAsia="仿宋_GB2312" w:cs="仿宋_GB2312"/>
          <w:spacing w:val="10"/>
          <w:sz w:val="32"/>
          <w:szCs w:val="32"/>
        </w:rPr>
        <w:t>实施主体    新建区财政局</w:t>
      </w:r>
    </w:p>
    <w:p>
      <w:pPr>
        <w:spacing w:line="560" w:lineRule="exact"/>
        <w:ind w:firstLine="680" w:firstLineChars="200"/>
        <w:rPr>
          <w:rFonts w:hint="default" w:ascii="Times New Roman" w:hAnsi="Times New Roman" w:eastAsia="仿宋_GB2312"/>
          <w:spacing w:val="10"/>
          <w:sz w:val="32"/>
          <w:szCs w:val="32"/>
          <w:lang w:val="en-US" w:eastAsia="zh-CN"/>
        </w:rPr>
      </w:pPr>
      <w:r>
        <w:rPr>
          <w:rFonts w:ascii="Times New Roman" w:hAnsi="Times New Roman" w:eastAsia="仿宋_GB2312" w:cs="Times New Roman"/>
          <w:spacing w:val="10"/>
          <w:sz w:val="32"/>
          <w:szCs w:val="32"/>
        </w:rPr>
        <w:t>4</w:t>
      </w:r>
      <w:r>
        <w:rPr>
          <w:rFonts w:hint="eastAsia" w:ascii="Times New Roman" w:hAnsi="Times New Roman" w:eastAsia="仿宋_GB2312" w:cs="仿宋_GB2312"/>
          <w:spacing w:val="10"/>
          <w:sz w:val="32"/>
          <w:szCs w:val="32"/>
        </w:rPr>
        <w:t xml:space="preserve">）实施方案   </w:t>
      </w:r>
      <w:r>
        <w:rPr>
          <w:rFonts w:hint="eastAsia" w:ascii="Times New Roman" w:hAnsi="Times New Roman" w:eastAsia="仿宋_GB2312" w:cs="仿宋_GB2312"/>
          <w:spacing w:val="10"/>
          <w:sz w:val="32"/>
          <w:szCs w:val="32"/>
          <w:lang w:val="en-US" w:eastAsia="zh-CN"/>
        </w:rPr>
        <w:t>机关正常运行</w:t>
      </w:r>
    </w:p>
    <w:p>
      <w:pPr>
        <w:tabs>
          <w:tab w:val="left" w:pos="3071"/>
        </w:tabs>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 xml:space="preserve">5) </w:t>
      </w:r>
      <w:r>
        <w:rPr>
          <w:rFonts w:hint="eastAsia" w:ascii="Times New Roman" w:hAnsi="Times New Roman" w:eastAsia="仿宋_GB2312" w:cs="仿宋_GB2312"/>
          <w:spacing w:val="10"/>
          <w:sz w:val="32"/>
          <w:szCs w:val="32"/>
        </w:rPr>
        <w:t>实施周期</w:t>
      </w:r>
      <w:r>
        <w:rPr>
          <w:rFonts w:hint="eastAsia" w:ascii="Times New Roman" w:hAnsi="Times New Roman" w:eastAsia="仿宋_GB2312" w:cs="仿宋_GB2312"/>
          <w:spacing w:val="10"/>
          <w:sz w:val="32"/>
          <w:szCs w:val="32"/>
        </w:rPr>
        <w:tab/>
      </w:r>
      <w:r>
        <w:rPr>
          <w:rFonts w:hint="eastAsia" w:ascii="Times New Roman" w:hAnsi="Times New Roman" w:eastAsia="仿宋_GB2312" w:cs="仿宋_GB2312"/>
          <w:spacing w:val="10"/>
          <w:sz w:val="32"/>
          <w:szCs w:val="32"/>
        </w:rPr>
        <w:t>202</w:t>
      </w:r>
      <w:r>
        <w:rPr>
          <w:rFonts w:hint="eastAsia" w:ascii="Times New Roman" w:hAnsi="Times New Roman" w:eastAsia="仿宋_GB2312" w:cs="仿宋_GB2312"/>
          <w:spacing w:val="10"/>
          <w:sz w:val="32"/>
          <w:szCs w:val="32"/>
          <w:lang w:val="en-US" w:eastAsia="zh-CN"/>
        </w:rPr>
        <w:t>4</w:t>
      </w:r>
      <w:r>
        <w:rPr>
          <w:rFonts w:hint="eastAsia" w:ascii="Times New Roman" w:hAnsi="Times New Roman" w:eastAsia="仿宋_GB2312" w:cs="仿宋_GB2312"/>
          <w:spacing w:val="10"/>
          <w:sz w:val="32"/>
          <w:szCs w:val="32"/>
        </w:rPr>
        <w:t>-01-01--202</w:t>
      </w:r>
      <w:r>
        <w:rPr>
          <w:rFonts w:hint="eastAsia" w:ascii="Times New Roman" w:hAnsi="Times New Roman" w:eastAsia="仿宋_GB2312" w:cs="仿宋_GB2312"/>
          <w:spacing w:val="10"/>
          <w:sz w:val="32"/>
          <w:szCs w:val="32"/>
          <w:lang w:val="en-US" w:eastAsia="zh-CN"/>
        </w:rPr>
        <w:t>4</w:t>
      </w:r>
      <w:r>
        <w:rPr>
          <w:rFonts w:hint="eastAsia" w:ascii="Times New Roman" w:hAnsi="Times New Roman" w:eastAsia="仿宋_GB2312" w:cs="仿宋_GB2312"/>
          <w:spacing w:val="10"/>
          <w:sz w:val="32"/>
          <w:szCs w:val="32"/>
        </w:rPr>
        <w:t>-12-31</w:t>
      </w:r>
    </w:p>
    <w:p>
      <w:pPr>
        <w:tabs>
          <w:tab w:val="left" w:pos="3911"/>
        </w:tabs>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 xml:space="preserve">6) </w:t>
      </w:r>
      <w:r>
        <w:rPr>
          <w:rFonts w:hint="eastAsia" w:ascii="Times New Roman" w:hAnsi="Times New Roman" w:eastAsia="仿宋_GB2312" w:cs="仿宋_GB2312"/>
          <w:spacing w:val="10"/>
          <w:sz w:val="32"/>
          <w:szCs w:val="32"/>
        </w:rPr>
        <w:t>年度预算安排</w:t>
      </w:r>
      <w:r>
        <w:rPr>
          <w:rFonts w:hint="eastAsia" w:ascii="Times New Roman" w:hAnsi="Times New Roman" w:eastAsia="仿宋_GB2312" w:cs="仿宋_GB2312"/>
          <w:spacing w:val="10"/>
          <w:sz w:val="32"/>
          <w:szCs w:val="32"/>
          <w:lang w:val="en-US" w:eastAsia="zh-CN"/>
        </w:rPr>
        <w:t xml:space="preserve">   </w:t>
      </w:r>
      <w:r>
        <w:rPr>
          <w:rFonts w:hint="eastAsia" w:ascii="Times New Roman" w:hAnsi="Times New Roman" w:eastAsia="仿宋_GB2312" w:cs="仿宋_GB2312"/>
          <w:spacing w:val="10"/>
          <w:sz w:val="32"/>
          <w:szCs w:val="32"/>
        </w:rPr>
        <w:t>50万元</w:t>
      </w:r>
    </w:p>
    <w:p>
      <w:pPr>
        <w:bidi w:val="0"/>
        <w:rPr>
          <w:rFonts w:ascii="Arial" w:hAnsi="Arial" w:eastAsia="Arial" w:cs="Arial"/>
          <w:snapToGrid w:val="0"/>
          <w:color w:val="000000"/>
          <w:kern w:val="0"/>
          <w:sz w:val="21"/>
          <w:szCs w:val="21"/>
          <w:lang w:val="en-US" w:eastAsia="en-US" w:bidi="ar-SA"/>
        </w:rPr>
      </w:pPr>
    </w:p>
    <w:p>
      <w:pPr>
        <w:bidi w:val="0"/>
        <w:rPr>
          <w:lang w:val="en-US" w:eastAsia="en-US"/>
        </w:rPr>
      </w:pPr>
    </w:p>
    <w:p>
      <w:pPr>
        <w:spacing w:before="100" w:line="222" w:lineRule="auto"/>
        <w:ind w:left="23"/>
        <w:rPr>
          <w:rFonts w:ascii="楷体" w:hAnsi="楷体" w:eastAsia="楷体" w:cs="楷体"/>
          <w:sz w:val="31"/>
          <w:szCs w:val="31"/>
        </w:rPr>
      </w:pPr>
      <w:r>
        <w:rPr>
          <w:rFonts w:ascii="楷体" w:hAnsi="楷体" w:eastAsia="楷体" w:cs="楷体"/>
          <w:b/>
          <w:bCs/>
          <w:spacing w:val="2"/>
          <w:sz w:val="31"/>
          <w:szCs w:val="31"/>
        </w:rPr>
        <w:t>二、</w:t>
      </w:r>
      <w:r>
        <w:rPr>
          <w:rFonts w:hint="eastAsia" w:ascii="楷体" w:hAnsi="楷体" w:eastAsia="楷体" w:cs="楷体"/>
          <w:b/>
          <w:bCs/>
          <w:spacing w:val="2"/>
          <w:sz w:val="31"/>
          <w:szCs w:val="31"/>
          <w:lang w:val="en-US" w:eastAsia="zh-CN"/>
        </w:rPr>
        <w:t>2024</w:t>
      </w:r>
      <w:r>
        <w:rPr>
          <w:rFonts w:ascii="楷体" w:hAnsi="楷体" w:eastAsia="楷体" w:cs="楷体"/>
          <w:b/>
          <w:bCs/>
          <w:spacing w:val="2"/>
          <w:sz w:val="31"/>
          <w:szCs w:val="31"/>
        </w:rPr>
        <w:t>年</w:t>
      </w:r>
      <w:r>
        <w:rPr>
          <w:rFonts w:ascii="楷体" w:hAnsi="楷体" w:eastAsia="楷体" w:cs="楷体"/>
          <w:spacing w:val="-103"/>
          <w:sz w:val="31"/>
          <w:szCs w:val="31"/>
        </w:rPr>
        <w:t xml:space="preserve"> </w:t>
      </w:r>
      <w:r>
        <w:rPr>
          <w:rFonts w:ascii="楷体" w:hAnsi="楷体" w:eastAsia="楷体" w:cs="楷体"/>
          <w:b/>
          <w:bCs/>
          <w:spacing w:val="2"/>
          <w:sz w:val="31"/>
          <w:szCs w:val="31"/>
        </w:rPr>
        <w:t>“三公</w:t>
      </w:r>
      <w:r>
        <w:rPr>
          <w:rFonts w:ascii="Calibri" w:hAnsi="Calibri" w:eastAsia="Calibri" w:cs="Calibri"/>
          <w:b/>
          <w:bCs/>
          <w:spacing w:val="2"/>
          <w:sz w:val="31"/>
          <w:szCs w:val="31"/>
        </w:rPr>
        <w:t>”</w:t>
      </w:r>
      <w:r>
        <w:rPr>
          <w:rFonts w:ascii="Calibri" w:hAnsi="Calibri" w:eastAsia="Calibri" w:cs="Calibri"/>
          <w:b/>
          <w:bCs/>
          <w:spacing w:val="-49"/>
          <w:sz w:val="31"/>
          <w:szCs w:val="31"/>
        </w:rPr>
        <w:t xml:space="preserve"> </w:t>
      </w:r>
      <w:r>
        <w:rPr>
          <w:rFonts w:ascii="楷体" w:hAnsi="楷体" w:eastAsia="楷体" w:cs="楷体"/>
          <w:b/>
          <w:bCs/>
          <w:spacing w:val="2"/>
          <w:sz w:val="31"/>
          <w:szCs w:val="31"/>
        </w:rPr>
        <w:t>经费预算情况说明</w:t>
      </w:r>
    </w:p>
    <w:p>
      <w:pPr>
        <w:pStyle w:val="3"/>
        <w:spacing w:before="249" w:line="372" w:lineRule="auto"/>
        <w:ind w:left="29" w:right="15" w:firstLine="655"/>
        <w:rPr>
          <w:rFonts w:hint="eastAsia"/>
          <w:spacing w:val="11"/>
          <w:lang w:val="en-US" w:eastAsia="zh-CN"/>
        </w:rPr>
      </w:pPr>
      <w:r>
        <w:rPr>
          <w:rFonts w:hint="eastAsia"/>
          <w:spacing w:val="11"/>
          <w:lang w:val="en-US" w:eastAsia="zh-CN"/>
        </w:rPr>
        <w:t>2024年新建区部门"三公"经费财政拨款安排10.5万元，其中：</w:t>
      </w:r>
    </w:p>
    <w:p>
      <w:pPr>
        <w:pStyle w:val="3"/>
        <w:spacing w:before="249" w:line="372" w:lineRule="auto"/>
        <w:ind w:left="29" w:right="15" w:firstLine="655"/>
        <w:rPr>
          <w:rFonts w:hint="eastAsia"/>
          <w:spacing w:val="11"/>
          <w:lang w:val="en-US" w:eastAsia="zh-CN"/>
        </w:rPr>
      </w:pPr>
      <w:r>
        <w:rPr>
          <w:rFonts w:hint="eastAsia"/>
          <w:spacing w:val="11"/>
          <w:lang w:val="en-US" w:eastAsia="zh-CN"/>
        </w:rPr>
        <w:t>因公出国（境）费0万元,比上年增（减）0万元，主要原因是：与上年保持一致。</w:t>
      </w:r>
    </w:p>
    <w:p>
      <w:pPr>
        <w:pStyle w:val="3"/>
        <w:spacing w:before="249" w:line="372" w:lineRule="auto"/>
        <w:ind w:left="29" w:right="15" w:firstLine="655"/>
        <w:rPr>
          <w:rFonts w:hint="eastAsia"/>
          <w:spacing w:val="11"/>
          <w:lang w:val="en-US" w:eastAsia="zh-CN"/>
        </w:rPr>
      </w:pPr>
      <w:r>
        <w:rPr>
          <w:rFonts w:hint="eastAsia"/>
          <w:spacing w:val="11"/>
          <w:lang w:val="en-US" w:eastAsia="zh-CN"/>
        </w:rPr>
        <w:t>公务接待费2.5万元,比上年减0.5万元，主要原因是：厉行节约。</w:t>
      </w:r>
    </w:p>
    <w:p>
      <w:pPr>
        <w:pStyle w:val="3"/>
        <w:spacing w:before="249" w:line="372" w:lineRule="auto"/>
        <w:ind w:left="29" w:right="15" w:firstLine="655"/>
        <w:rPr>
          <w:rFonts w:hint="eastAsia"/>
          <w:spacing w:val="11"/>
          <w:lang w:val="en-US" w:eastAsia="zh-CN"/>
        </w:rPr>
      </w:pPr>
      <w:r>
        <w:rPr>
          <w:rFonts w:hint="eastAsia"/>
          <w:spacing w:val="11"/>
          <w:lang w:val="en-US" w:eastAsia="zh-CN"/>
        </w:rPr>
        <w:t>公务用车运行维护费8万元,比上年减2万元，主要原因是：厉行节约。</w:t>
      </w:r>
    </w:p>
    <w:p>
      <w:pPr>
        <w:pStyle w:val="3"/>
        <w:spacing w:before="249" w:line="372" w:lineRule="auto"/>
        <w:ind w:left="29" w:right="15" w:firstLine="655"/>
        <w:rPr>
          <w:rFonts w:hint="eastAsia"/>
          <w:spacing w:val="11"/>
          <w:lang w:val="en-US" w:eastAsia="zh-CN"/>
        </w:rPr>
      </w:pPr>
      <w:r>
        <w:rPr>
          <w:rFonts w:hint="eastAsia"/>
          <w:spacing w:val="11"/>
          <w:lang w:val="en-US" w:eastAsia="zh-CN"/>
        </w:rPr>
        <w:t>公务用车购置0万元,比上年增（减）0万元，主要原因是：与上年保持一致。</w:t>
      </w:r>
    </w:p>
    <w:p>
      <w:pPr>
        <w:pStyle w:val="3"/>
        <w:spacing w:before="249" w:line="372" w:lineRule="auto"/>
        <w:ind w:left="29" w:right="15" w:firstLine="655"/>
        <w:rPr>
          <w:rFonts w:hint="eastAsia"/>
          <w:spacing w:val="11"/>
          <w:lang w:val="en-US" w:eastAsia="zh-CN"/>
        </w:rPr>
        <w:sectPr>
          <w:pgSz w:w="11906" w:h="16839"/>
          <w:pgMar w:top="400" w:right="1718" w:bottom="400" w:left="1785" w:header="0" w:footer="0" w:gutter="0"/>
          <w:cols w:space="720" w:num="1"/>
        </w:sect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1" w:lineRule="auto"/>
        <w:rPr>
          <w:rFonts w:ascii="Arial"/>
          <w:sz w:val="21"/>
        </w:rPr>
      </w:pPr>
    </w:p>
    <w:p>
      <w:pPr>
        <w:spacing w:line="271" w:lineRule="auto"/>
        <w:rPr>
          <w:rFonts w:ascii="Arial"/>
          <w:sz w:val="21"/>
        </w:rPr>
      </w:pPr>
    </w:p>
    <w:p>
      <w:pPr>
        <w:pStyle w:val="3"/>
        <w:spacing w:before="101" w:line="222" w:lineRule="auto"/>
        <w:ind w:firstLine="2554" w:firstLineChars="800"/>
      </w:pPr>
      <w:r>
        <w:rPr>
          <w:b/>
          <w:bCs/>
          <w:spacing w:val="4"/>
        </w:rPr>
        <w:t>第四部分</w:t>
      </w:r>
      <w:r>
        <w:rPr>
          <w:spacing w:val="4"/>
        </w:rPr>
        <w:t xml:space="preserve">   </w:t>
      </w:r>
      <w:r>
        <w:rPr>
          <w:b/>
          <w:bCs/>
          <w:spacing w:val="4"/>
        </w:rPr>
        <w:t>名词解释</w:t>
      </w:r>
    </w:p>
    <w:p>
      <w:pPr>
        <w:pStyle w:val="3"/>
        <w:spacing w:before="268" w:line="222" w:lineRule="auto"/>
        <w:ind w:left="845"/>
        <w:rPr>
          <w:spacing w:val="4"/>
        </w:rPr>
      </w:pPr>
    </w:p>
    <w:p>
      <w:pPr>
        <w:pStyle w:val="3"/>
        <w:spacing w:before="268" w:line="222" w:lineRule="auto"/>
        <w:ind w:left="845"/>
      </w:pPr>
      <w:r>
        <w:rPr>
          <w:spacing w:val="4"/>
        </w:rPr>
        <w:t>一、收入科目</w:t>
      </w:r>
    </w:p>
    <w:p>
      <w:pPr>
        <w:pStyle w:val="3"/>
        <w:spacing w:before="198" w:line="228" w:lineRule="auto"/>
        <w:ind w:left="668"/>
      </w:pPr>
      <w:r>
        <w:rPr>
          <w:spacing w:val="8"/>
        </w:rPr>
        <w:t>（一）财政拨款：指省级财政当年拨付的资金。</w:t>
      </w:r>
    </w:p>
    <w:p>
      <w:pPr>
        <w:pStyle w:val="3"/>
        <w:spacing w:before="229" w:line="600" w:lineRule="exact"/>
        <w:ind w:right="16" w:firstLine="656" w:firstLineChars="200"/>
        <w:jc w:val="both"/>
      </w:pPr>
      <w:r>
        <w:rPr>
          <w:spacing w:val="9"/>
          <w:position w:val="21"/>
        </w:rPr>
        <w:t>（</w:t>
      </w:r>
      <w:r>
        <w:rPr>
          <w:rFonts w:hint="eastAsia"/>
          <w:spacing w:val="9"/>
          <w:position w:val="21"/>
          <w:lang w:val="en-US" w:eastAsia="zh-CN"/>
        </w:rPr>
        <w:t>二</w:t>
      </w:r>
      <w:r>
        <w:rPr>
          <w:spacing w:val="9"/>
          <w:position w:val="21"/>
        </w:rPr>
        <w:t>）其他收入：指除财政拨款、事业收入、事业单位</w:t>
      </w:r>
    </w:p>
    <w:p>
      <w:pPr>
        <w:pStyle w:val="3"/>
        <w:spacing w:line="223" w:lineRule="auto"/>
        <w:ind w:left="34"/>
        <w:rPr>
          <w:spacing w:val="7"/>
        </w:rPr>
      </w:pPr>
      <w:r>
        <w:rPr>
          <w:spacing w:val="7"/>
        </w:rPr>
        <w:t>经营收入等以外的各项收入。</w:t>
      </w:r>
    </w:p>
    <w:p>
      <w:pPr>
        <w:bidi w:val="0"/>
      </w:pPr>
    </w:p>
    <w:p>
      <w:pPr>
        <w:bidi w:val="0"/>
      </w:pPr>
    </w:p>
    <w:p>
      <w:pPr>
        <w:pStyle w:val="3"/>
        <w:spacing w:before="268" w:line="222" w:lineRule="auto"/>
        <w:ind w:left="845"/>
        <w:rPr>
          <w:spacing w:val="4"/>
        </w:rPr>
      </w:pPr>
      <w:r>
        <w:rPr>
          <w:rFonts w:hint="eastAsia"/>
          <w:spacing w:val="4"/>
        </w:rPr>
        <w:t>二、支出科目</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行政运行：反映行政单位（包括实行公务员管理的事业单位）的基本支出。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一般行政管理事务：反映行政单位（包括实行公务员管理的事业单位）未单独设置项级科目的其他项目支出。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其他财政事业支出：反映除上述项目以外其他财政事务方面的支出。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机关事业单位基本养老保险缴费支出：反映机关事业单位实施养老保险制度由单位缴纳的基本养老保险费支出。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行政单位医疗：反映财政部门集中安排的行政单位基本医疗保险缴费经费，未参加医疗保险的行政单位的公费医疗经费，按国家规定享受离休人员、红军老战士待遇人员的经费。</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住房公积金：反映行政事业单位按人力资源和社会保障部财政部规定的基本工资和津贴补贴经费及规定比例为职工缴纳的住房公积金。</w:t>
      </w:r>
    </w:p>
    <w:p>
      <w:pPr>
        <w:bidi w:val="0"/>
      </w:pPr>
    </w:p>
    <w:p>
      <w:pPr>
        <w:pStyle w:val="3"/>
        <w:spacing w:before="101" w:line="222" w:lineRule="auto"/>
        <w:ind w:left="690"/>
        <w:rPr>
          <w:spacing w:val="5"/>
        </w:rPr>
      </w:pPr>
    </w:p>
    <w:p>
      <w:pPr>
        <w:pStyle w:val="3"/>
        <w:spacing w:before="101" w:line="222" w:lineRule="auto"/>
        <w:ind w:left="690"/>
        <w:rPr>
          <w:spacing w:val="5"/>
        </w:rPr>
      </w:pPr>
    </w:p>
    <w:p>
      <w:pPr>
        <w:pStyle w:val="3"/>
        <w:spacing w:before="101" w:line="222" w:lineRule="auto"/>
        <w:ind w:left="690"/>
        <w:rPr>
          <w:spacing w:val="5"/>
        </w:rPr>
      </w:pPr>
    </w:p>
    <w:p>
      <w:pPr>
        <w:pStyle w:val="3"/>
        <w:spacing w:before="101" w:line="222" w:lineRule="auto"/>
        <w:ind w:left="690"/>
        <w:rPr>
          <w:spacing w:val="5"/>
        </w:rPr>
      </w:pPr>
    </w:p>
    <w:p>
      <w:pPr>
        <w:pStyle w:val="3"/>
        <w:spacing w:before="101" w:line="222" w:lineRule="auto"/>
        <w:ind w:left="690"/>
      </w:pPr>
      <w:r>
        <w:rPr>
          <w:spacing w:val="5"/>
        </w:rPr>
        <w:t>三、相关专业名词</w:t>
      </w:r>
    </w:p>
    <w:p>
      <w:pPr>
        <w:pStyle w:val="3"/>
        <w:spacing w:before="307" w:line="357" w:lineRule="auto"/>
        <w:ind w:left="21" w:right="58" w:firstLine="637"/>
      </w:pPr>
      <w:r>
        <w:rPr>
          <w:spacing w:val="6"/>
        </w:rPr>
        <w:t>（</w:t>
      </w:r>
      <w:r>
        <w:rPr>
          <w:spacing w:val="-79"/>
        </w:rPr>
        <w:t xml:space="preserve"> </w:t>
      </w:r>
      <w:r>
        <w:rPr>
          <w:spacing w:val="6"/>
        </w:rPr>
        <w:t>一）机关运行费：指用财政拨款安排的为保障行政单</w:t>
      </w:r>
      <w:r>
        <w:t xml:space="preserve"> </w:t>
      </w:r>
      <w:r>
        <w:rPr>
          <w:spacing w:val="9"/>
        </w:rPr>
        <w:t>位（含参照公务员法管理的事业单位）运行用于购买货物和</w:t>
      </w:r>
      <w:r>
        <w:rPr>
          <w:spacing w:val="3"/>
        </w:rPr>
        <w:t xml:space="preserve"> </w:t>
      </w:r>
      <w:r>
        <w:rPr>
          <w:spacing w:val="8"/>
        </w:rPr>
        <w:t>服务的各项资金，包括办公费、</w:t>
      </w:r>
      <w:r>
        <w:rPr>
          <w:spacing w:val="-84"/>
        </w:rPr>
        <w:t xml:space="preserve"> </w:t>
      </w:r>
      <w:r>
        <w:rPr>
          <w:spacing w:val="8"/>
        </w:rPr>
        <w:t>印刷费、邮电费、差旅费、</w:t>
      </w:r>
      <w:r>
        <w:t xml:space="preserve"> </w:t>
      </w:r>
      <w:r>
        <w:rPr>
          <w:spacing w:val="1"/>
        </w:rPr>
        <w:t>会议费、福利费、日常维修费、专用材料及一般设备</w:t>
      </w:r>
      <w:r>
        <w:t xml:space="preserve">购置费、 </w:t>
      </w:r>
      <w:r>
        <w:rPr>
          <w:spacing w:val="9"/>
        </w:rPr>
        <w:t>办公用房水电费、办公用房取暖费、办公用房物业管理费、</w:t>
      </w:r>
    </w:p>
    <w:p>
      <w:pPr>
        <w:pStyle w:val="3"/>
        <w:spacing w:before="1" w:line="219" w:lineRule="auto"/>
        <w:ind w:left="25"/>
      </w:pPr>
      <w:r>
        <w:rPr>
          <w:spacing w:val="8"/>
        </w:rPr>
        <w:t>公务用车运行维护费以及其他费用。</w:t>
      </w:r>
    </w:p>
    <w:p>
      <w:pPr>
        <w:pStyle w:val="3"/>
        <w:spacing w:before="233" w:line="357" w:lineRule="auto"/>
        <w:ind w:left="47" w:firstLine="611"/>
      </w:pPr>
      <w:r>
        <w:rPr>
          <w:spacing w:val="-13"/>
        </w:rPr>
        <w:t>（</w:t>
      </w:r>
      <w:r>
        <w:rPr>
          <w:spacing w:val="-64"/>
        </w:rPr>
        <w:t xml:space="preserve"> </w:t>
      </w:r>
      <w:r>
        <w:rPr>
          <w:spacing w:val="-13"/>
        </w:rPr>
        <w:t>二）“三公”经费：指用财政拨款安排的因公出国（境）</w:t>
      </w:r>
      <w:r>
        <w:t xml:space="preserve"> </w:t>
      </w:r>
      <w:r>
        <w:rPr>
          <w:spacing w:val="8"/>
        </w:rPr>
        <w:t>费、公务用车购置及运行维护费和公务接待费。其中，因公</w:t>
      </w:r>
      <w:r>
        <w:t xml:space="preserve">  </w:t>
      </w:r>
      <w:r>
        <w:rPr>
          <w:spacing w:val="8"/>
        </w:rPr>
        <w:t>出国（境）费反映单位公务出国（境）的国际旅费、国外城</w:t>
      </w:r>
    </w:p>
    <w:p>
      <w:pPr>
        <w:pStyle w:val="3"/>
        <w:spacing w:before="1" w:line="221" w:lineRule="auto"/>
        <w:ind w:left="40"/>
      </w:pPr>
      <w:r>
        <w:rPr>
          <w:spacing w:val="8"/>
        </w:rPr>
        <w:t>市间交通费、住宿费、伙食费、培训费、公杂费等支出；公</w:t>
      </w:r>
    </w:p>
    <w:p>
      <w:pPr>
        <w:pStyle w:val="3"/>
        <w:spacing w:before="101" w:line="220" w:lineRule="auto"/>
      </w:pPr>
      <w:r>
        <w:rPr>
          <w:spacing w:val="9"/>
        </w:rPr>
        <w:t>务用车购置及运行维护费反映单位公务用车车辆购置支出</w:t>
      </w:r>
    </w:p>
    <w:p>
      <w:pPr>
        <w:pStyle w:val="3"/>
        <w:spacing w:before="231" w:line="600" w:lineRule="exact"/>
        <w:ind w:left="18"/>
      </w:pPr>
      <w:r>
        <w:rPr>
          <w:spacing w:val="8"/>
          <w:position w:val="21"/>
        </w:rPr>
        <w:t>（含车辆购置税、牌照费</w:t>
      </w:r>
      <w:r>
        <w:rPr>
          <w:spacing w:val="-61"/>
          <w:position w:val="21"/>
        </w:rPr>
        <w:t>），</w:t>
      </w:r>
      <w:r>
        <w:rPr>
          <w:spacing w:val="8"/>
          <w:position w:val="21"/>
        </w:rPr>
        <w:t>按规定保留的公务用车燃料费、</w:t>
      </w:r>
    </w:p>
    <w:p>
      <w:pPr>
        <w:pStyle w:val="3"/>
        <w:spacing w:line="221" w:lineRule="auto"/>
        <w:ind w:left="36"/>
      </w:pPr>
      <w:r>
        <w:rPr>
          <w:spacing w:val="9"/>
        </w:rPr>
        <w:t>维修费、过桥过路费、保险费、安全奖励费 用等支出；公</w:t>
      </w:r>
    </w:p>
    <w:p>
      <w:pPr>
        <w:pStyle w:val="3"/>
        <w:spacing w:before="228" w:line="600" w:lineRule="exact"/>
        <w:jc w:val="right"/>
      </w:pPr>
      <w:r>
        <w:rPr>
          <w:spacing w:val="8"/>
          <w:position w:val="21"/>
        </w:rPr>
        <w:t>务接待费反映单位按规定开支的各类公务接待（含外宾接待）</w:t>
      </w:r>
    </w:p>
    <w:p>
      <w:pPr>
        <w:pStyle w:val="3"/>
        <w:spacing w:before="1" w:line="223" w:lineRule="auto"/>
        <w:ind w:left="34"/>
        <w:rPr>
          <w:rFonts w:hint="eastAsia" w:eastAsia="仿宋"/>
          <w:lang w:eastAsia="zh-CN"/>
        </w:rPr>
        <w:sectPr>
          <w:pgSz w:w="11906" w:h="16839"/>
          <w:pgMar w:top="400" w:right="1485" w:bottom="400" w:left="1785" w:header="0" w:footer="0" w:gutter="0"/>
          <w:cols w:space="720" w:num="1"/>
        </w:sectPr>
      </w:pPr>
      <w:r>
        <w:rPr>
          <w:spacing w:val="-1"/>
        </w:rPr>
        <w:t>支出</w:t>
      </w:r>
      <w:r>
        <w:rPr>
          <w:rFonts w:hint="eastAsia"/>
          <w:spacing w:val="-1"/>
          <w:lang w:eastAsia="zh-CN"/>
        </w:rPr>
        <w:t>。</w:t>
      </w:r>
    </w:p>
    <w:p>
      <w:pPr>
        <w:pStyle w:val="3"/>
        <w:spacing w:before="1" w:line="221" w:lineRule="auto"/>
        <w:ind w:left="26"/>
      </w:pPr>
      <w:r>
        <w:rPr>
          <w:spacing w:val="-95"/>
          <w:position w:val="23"/>
        </w:rPr>
        <w:t xml:space="preserve"> </w:t>
      </w:r>
    </w:p>
    <w:p>
      <w:pPr>
        <w:spacing w:line="249" w:lineRule="auto"/>
        <w:rPr>
          <w:rFonts w:ascii="Arial"/>
          <w:sz w:val="21"/>
        </w:rPr>
      </w:pPr>
    </w:p>
    <w:p>
      <w:pPr>
        <w:spacing w:line="249" w:lineRule="auto"/>
        <w:rPr>
          <w:rFonts w:hint="eastAsia" w:ascii="Arial" w:eastAsia="宋体"/>
          <w:sz w:val="21"/>
          <w:lang w:eastAsia="zh-CN"/>
        </w:rPr>
      </w:pPr>
      <w:r>
        <w:rPr>
          <w:rFonts w:hint="eastAsia" w:ascii="Arial" w:eastAsia="宋体"/>
          <w:sz w:val="21"/>
          <w:lang w:eastAsia="zh-CN"/>
        </w:rPr>
        <w:drawing>
          <wp:inline distT="0" distB="0" distL="114300" distR="114300">
            <wp:extent cx="9347835" cy="4810760"/>
            <wp:effectExtent l="0" t="0" r="5715" b="8890"/>
            <wp:docPr id="1" name="图片 1" descr="91da44b5204bbdaaa14b879560c12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1da44b5204bbdaaa14b879560c129c"/>
                    <pic:cNvPicPr>
                      <a:picLocks noChangeAspect="1"/>
                    </pic:cNvPicPr>
                  </pic:nvPicPr>
                  <pic:blipFill>
                    <a:blip r:embed="rId8"/>
                    <a:stretch>
                      <a:fillRect/>
                    </a:stretch>
                  </pic:blipFill>
                  <pic:spPr>
                    <a:xfrm>
                      <a:off x="0" y="0"/>
                      <a:ext cx="9347835" cy="4810760"/>
                    </a:xfrm>
                    <a:prstGeom prst="rect">
                      <a:avLst/>
                    </a:prstGeom>
                  </pic:spPr>
                </pic:pic>
              </a:graphicData>
            </a:graphic>
          </wp:inline>
        </w:drawing>
      </w:r>
    </w:p>
    <w:p>
      <w:pPr>
        <w:spacing w:line="249" w:lineRule="auto"/>
        <w:rPr>
          <w:rFonts w:ascii="Arial"/>
          <w:sz w:val="21"/>
        </w:rPr>
      </w:pPr>
    </w:p>
    <w:p>
      <w:pPr>
        <w:spacing w:line="18" w:lineRule="exact"/>
      </w:pPr>
    </w:p>
    <w:p>
      <w:pPr>
        <w:spacing w:line="14" w:lineRule="auto"/>
        <w:rPr>
          <w:rFonts w:ascii="Arial"/>
          <w:sz w:val="2"/>
        </w:rPr>
      </w:pPr>
    </w:p>
    <w:p>
      <w:pPr>
        <w:spacing w:line="14" w:lineRule="auto"/>
        <w:rPr>
          <w:rFonts w:ascii="Arial" w:hAnsi="Arial" w:eastAsia="Arial" w:cs="Arial"/>
          <w:sz w:val="2"/>
          <w:szCs w:val="2"/>
        </w:rPr>
        <w:sectPr>
          <w:type w:val="continuous"/>
          <w:pgSz w:w="16837" w:h="11905"/>
          <w:pgMar w:top="400" w:right="1068" w:bottom="400" w:left="1046" w:header="0" w:footer="0" w:gutter="0"/>
          <w:cols w:equalWidth="0" w:num="1">
            <w:col w:w="14722"/>
          </w:cols>
        </w:sectPr>
      </w:pPr>
    </w:p>
    <w:p>
      <w:pPr>
        <w:spacing w:line="289" w:lineRule="auto"/>
        <w:rPr>
          <w:rFonts w:ascii="Arial"/>
          <w:sz w:val="21"/>
        </w:rPr>
      </w:pPr>
    </w:p>
    <w:p>
      <w:pPr>
        <w:spacing w:line="290" w:lineRule="auto"/>
        <w:rPr>
          <w:rFonts w:hint="eastAsia" w:ascii="Arial" w:eastAsia="宋体"/>
          <w:sz w:val="21"/>
          <w:lang w:eastAsia="zh-CN"/>
        </w:rPr>
      </w:pPr>
      <w:r>
        <w:rPr>
          <w:rFonts w:hint="eastAsia" w:ascii="Arial" w:eastAsia="宋体"/>
          <w:sz w:val="21"/>
          <w:lang w:eastAsia="zh-CN"/>
        </w:rPr>
        <w:drawing>
          <wp:inline distT="0" distB="0" distL="114300" distR="114300">
            <wp:extent cx="9440545" cy="5703570"/>
            <wp:effectExtent l="0" t="0" r="8255" b="11430"/>
            <wp:docPr id="4" name="图片 4" descr="abf31da6c76581345a1a2ac8932f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bf31da6c76581345a1a2ac8932f023"/>
                    <pic:cNvPicPr>
                      <a:picLocks noChangeAspect="1"/>
                    </pic:cNvPicPr>
                  </pic:nvPicPr>
                  <pic:blipFill>
                    <a:blip r:embed="rId9"/>
                    <a:stretch>
                      <a:fillRect/>
                    </a:stretch>
                  </pic:blipFill>
                  <pic:spPr>
                    <a:xfrm>
                      <a:off x="0" y="0"/>
                      <a:ext cx="9440545" cy="5703570"/>
                    </a:xfrm>
                    <a:prstGeom prst="rect">
                      <a:avLst/>
                    </a:prstGeom>
                  </pic:spPr>
                </pic:pic>
              </a:graphicData>
            </a:graphic>
          </wp:inline>
        </w:drawing>
      </w:r>
    </w:p>
    <w:p>
      <w:pPr>
        <w:spacing w:before="62" w:line="222" w:lineRule="auto"/>
        <w:ind w:left="6890"/>
        <w:rPr>
          <w:rFonts w:ascii="宋体" w:hAnsi="宋体" w:eastAsia="宋体" w:cs="宋体"/>
          <w:b/>
          <w:bCs/>
          <w:spacing w:val="-1"/>
          <w:sz w:val="19"/>
          <w:szCs w:val="19"/>
        </w:rPr>
      </w:pPr>
    </w:p>
    <w:p>
      <w:pPr>
        <w:spacing w:before="62" w:line="222" w:lineRule="auto"/>
        <w:ind w:left="6890"/>
        <w:rPr>
          <w:rFonts w:ascii="宋体" w:hAnsi="宋体" w:eastAsia="宋体" w:cs="宋体"/>
          <w:b/>
          <w:bCs/>
          <w:spacing w:val="-1"/>
          <w:sz w:val="19"/>
          <w:szCs w:val="19"/>
        </w:rPr>
      </w:pPr>
    </w:p>
    <w:p>
      <w:pPr>
        <w:spacing w:before="62" w:line="222" w:lineRule="auto"/>
        <w:ind w:left="6890"/>
        <w:rPr>
          <w:rFonts w:ascii="宋体" w:hAnsi="宋体" w:eastAsia="宋体" w:cs="宋体"/>
          <w:b/>
          <w:bCs/>
          <w:spacing w:val="-1"/>
          <w:sz w:val="19"/>
          <w:szCs w:val="19"/>
        </w:rPr>
      </w:pPr>
    </w:p>
    <w:p>
      <w:pPr>
        <w:spacing w:before="62" w:line="222" w:lineRule="auto"/>
        <w:ind w:left="6890"/>
        <w:rPr>
          <w:rFonts w:ascii="宋体" w:hAnsi="宋体" w:eastAsia="宋体" w:cs="宋体"/>
          <w:b/>
          <w:bCs/>
          <w:spacing w:val="-1"/>
          <w:sz w:val="19"/>
          <w:szCs w:val="19"/>
        </w:rPr>
      </w:pPr>
    </w:p>
    <w:p>
      <w:pPr>
        <w:spacing w:before="62" w:line="222" w:lineRule="auto"/>
        <w:ind w:left="6890"/>
        <w:rPr>
          <w:rFonts w:ascii="宋体" w:hAnsi="宋体" w:eastAsia="宋体" w:cs="宋体"/>
          <w:b/>
          <w:bCs/>
          <w:spacing w:val="-1"/>
          <w:sz w:val="19"/>
          <w:szCs w:val="19"/>
        </w:rPr>
      </w:pPr>
    </w:p>
    <w:p>
      <w:pPr>
        <w:spacing w:before="62" w:line="222" w:lineRule="auto"/>
        <w:ind w:left="6890"/>
        <w:rPr>
          <w:rFonts w:ascii="宋体" w:hAnsi="宋体" w:eastAsia="宋体" w:cs="宋体"/>
          <w:b/>
          <w:bCs/>
          <w:spacing w:val="-1"/>
          <w:sz w:val="19"/>
          <w:szCs w:val="19"/>
        </w:rPr>
      </w:pPr>
    </w:p>
    <w:p>
      <w:pPr>
        <w:spacing w:before="62" w:line="222" w:lineRule="auto"/>
        <w:ind w:left="6890"/>
        <w:rPr>
          <w:rFonts w:ascii="宋体" w:hAnsi="宋体" w:eastAsia="宋体" w:cs="宋体"/>
          <w:b/>
          <w:bCs/>
          <w:spacing w:val="-1"/>
          <w:sz w:val="19"/>
          <w:szCs w:val="19"/>
        </w:rPr>
      </w:pPr>
    </w:p>
    <w:p>
      <w:pPr>
        <w:spacing w:before="62" w:line="222" w:lineRule="auto"/>
        <w:ind w:left="6890"/>
        <w:rPr>
          <w:rFonts w:ascii="宋体" w:hAnsi="宋体" w:eastAsia="宋体" w:cs="宋体"/>
          <w:b/>
          <w:bCs/>
          <w:spacing w:val="-1"/>
          <w:sz w:val="19"/>
          <w:szCs w:val="19"/>
        </w:rPr>
      </w:pPr>
    </w:p>
    <w:p>
      <w:pPr>
        <w:spacing w:before="62" w:line="222" w:lineRule="auto"/>
        <w:jc w:val="both"/>
        <w:rPr>
          <w:rFonts w:ascii="宋体" w:hAnsi="宋体" w:eastAsia="宋体" w:cs="宋体"/>
          <w:b/>
          <w:bCs/>
          <w:spacing w:val="-1"/>
          <w:sz w:val="19"/>
          <w:szCs w:val="19"/>
        </w:rPr>
      </w:pPr>
    </w:p>
    <w:p>
      <w:pPr>
        <w:spacing w:line="253" w:lineRule="auto"/>
        <w:rPr>
          <w:rFonts w:ascii="Arial"/>
          <w:sz w:val="21"/>
        </w:rPr>
      </w:pPr>
      <w:r>
        <w:rPr>
          <w:rFonts w:hint="eastAsia" w:ascii="Arial" w:eastAsia="宋体"/>
          <w:sz w:val="21"/>
          <w:lang w:eastAsia="zh-CN"/>
        </w:rPr>
        <w:drawing>
          <wp:inline distT="0" distB="0" distL="114300" distR="114300">
            <wp:extent cx="9424035" cy="6527800"/>
            <wp:effectExtent l="0" t="0" r="5715" b="6350"/>
            <wp:docPr id="7" name="图片 7" descr="ba10fe13ffd2f3de1fec817fc3c5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a10fe13ffd2f3de1fec817fc3c5331"/>
                    <pic:cNvPicPr>
                      <a:picLocks noChangeAspect="1"/>
                    </pic:cNvPicPr>
                  </pic:nvPicPr>
                  <pic:blipFill>
                    <a:blip r:embed="rId10"/>
                    <a:stretch>
                      <a:fillRect/>
                    </a:stretch>
                  </pic:blipFill>
                  <pic:spPr>
                    <a:xfrm>
                      <a:off x="0" y="0"/>
                      <a:ext cx="9424035" cy="6527800"/>
                    </a:xfrm>
                    <a:prstGeom prst="rect">
                      <a:avLst/>
                    </a:prstGeom>
                  </pic:spPr>
                </pic:pic>
              </a:graphicData>
            </a:graphic>
          </wp:inline>
        </w:drawing>
      </w:r>
    </w:p>
    <w:p>
      <w:pPr>
        <w:spacing w:line="253" w:lineRule="auto"/>
        <w:rPr>
          <w:rFonts w:hint="eastAsia" w:ascii="Arial" w:eastAsia="宋体"/>
          <w:sz w:val="21"/>
          <w:lang w:eastAsia="zh-CN"/>
        </w:rPr>
      </w:pPr>
      <w:r>
        <w:rPr>
          <w:rFonts w:hint="eastAsia" w:ascii="Arial" w:eastAsia="宋体"/>
          <w:sz w:val="21"/>
          <w:lang w:eastAsia="zh-CN"/>
        </w:rPr>
        <w:drawing>
          <wp:inline distT="0" distB="0" distL="114300" distR="114300">
            <wp:extent cx="9422130" cy="5096510"/>
            <wp:effectExtent l="0" t="0" r="7620" b="8890"/>
            <wp:docPr id="10" name="图片 10" descr="ad2a63c6f817f241a2fdffcef2d6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ad2a63c6f817f241a2fdffcef2d601a"/>
                    <pic:cNvPicPr>
                      <a:picLocks noChangeAspect="1"/>
                    </pic:cNvPicPr>
                  </pic:nvPicPr>
                  <pic:blipFill>
                    <a:blip r:embed="rId11"/>
                    <a:stretch>
                      <a:fillRect/>
                    </a:stretch>
                  </pic:blipFill>
                  <pic:spPr>
                    <a:xfrm>
                      <a:off x="0" y="0"/>
                      <a:ext cx="9422130" cy="5096510"/>
                    </a:xfrm>
                    <a:prstGeom prst="rect">
                      <a:avLst/>
                    </a:prstGeom>
                  </pic:spPr>
                </pic:pic>
              </a:graphicData>
            </a:graphic>
          </wp:inline>
        </w:drawing>
      </w:r>
    </w:p>
    <w:p>
      <w:pPr>
        <w:spacing w:line="254" w:lineRule="auto"/>
        <w:rPr>
          <w:rFonts w:ascii="Arial"/>
          <w:sz w:val="21"/>
        </w:rPr>
      </w:pPr>
    </w:p>
    <w:p>
      <w:pPr>
        <w:spacing w:before="127" w:line="223" w:lineRule="auto"/>
        <w:ind w:left="6260"/>
        <w:rPr>
          <w:rFonts w:ascii="宋体" w:hAnsi="宋体" w:eastAsia="宋体" w:cs="宋体"/>
          <w:b/>
          <w:bCs/>
          <w:sz w:val="39"/>
          <w:szCs w:val="39"/>
        </w:rPr>
      </w:pPr>
    </w:p>
    <w:p>
      <w:pPr>
        <w:spacing w:before="127" w:line="223" w:lineRule="auto"/>
        <w:ind w:left="6260"/>
        <w:rPr>
          <w:rFonts w:ascii="宋体" w:hAnsi="宋体" w:eastAsia="宋体" w:cs="宋体"/>
          <w:b/>
          <w:bCs/>
          <w:sz w:val="39"/>
          <w:szCs w:val="39"/>
        </w:rPr>
      </w:pPr>
    </w:p>
    <w:p>
      <w:pPr>
        <w:spacing w:before="127" w:line="223" w:lineRule="auto"/>
        <w:ind w:left="6260"/>
        <w:rPr>
          <w:rFonts w:ascii="宋体" w:hAnsi="宋体" w:eastAsia="宋体" w:cs="宋体"/>
          <w:b/>
          <w:bCs/>
          <w:sz w:val="39"/>
          <w:szCs w:val="39"/>
        </w:rPr>
      </w:pPr>
    </w:p>
    <w:p>
      <w:pPr>
        <w:spacing w:before="127" w:line="223" w:lineRule="auto"/>
        <w:ind w:left="6260"/>
        <w:rPr>
          <w:rFonts w:ascii="宋体" w:hAnsi="宋体" w:eastAsia="宋体" w:cs="宋体"/>
          <w:b/>
          <w:bCs/>
          <w:sz w:val="39"/>
          <w:szCs w:val="39"/>
        </w:rPr>
      </w:pPr>
    </w:p>
    <w:p>
      <w:pPr>
        <w:spacing w:line="253" w:lineRule="auto"/>
        <w:rPr>
          <w:rFonts w:ascii="Arial"/>
          <w:sz w:val="21"/>
        </w:rPr>
      </w:pPr>
    </w:p>
    <w:p>
      <w:pPr>
        <w:spacing w:line="253" w:lineRule="auto"/>
        <w:rPr>
          <w:rFonts w:hint="eastAsia" w:ascii="Arial" w:eastAsia="宋体"/>
          <w:sz w:val="21"/>
          <w:lang w:eastAsia="zh-CN"/>
        </w:rPr>
      </w:pPr>
      <w:r>
        <w:rPr>
          <w:rFonts w:hint="eastAsia" w:ascii="Arial" w:eastAsia="宋体"/>
          <w:sz w:val="21"/>
          <w:lang w:eastAsia="zh-CN"/>
        </w:rPr>
        <w:drawing>
          <wp:inline distT="0" distB="0" distL="114300" distR="114300">
            <wp:extent cx="9037955" cy="7047230"/>
            <wp:effectExtent l="0" t="0" r="10795" b="1270"/>
            <wp:docPr id="12" name="图片 12" descr="ad659381a7274b246c53450bd89a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ad659381a7274b246c53450bd89a962"/>
                    <pic:cNvPicPr>
                      <a:picLocks noChangeAspect="1"/>
                    </pic:cNvPicPr>
                  </pic:nvPicPr>
                  <pic:blipFill>
                    <a:blip r:embed="rId12"/>
                    <a:stretch>
                      <a:fillRect/>
                    </a:stretch>
                  </pic:blipFill>
                  <pic:spPr>
                    <a:xfrm>
                      <a:off x="0" y="0"/>
                      <a:ext cx="9037955" cy="7047230"/>
                    </a:xfrm>
                    <a:prstGeom prst="rect">
                      <a:avLst/>
                    </a:prstGeom>
                  </pic:spPr>
                </pic:pic>
              </a:graphicData>
            </a:graphic>
          </wp:inline>
        </w:drawing>
      </w:r>
    </w:p>
    <w:p>
      <w:pPr>
        <w:spacing w:line="254" w:lineRule="auto"/>
        <w:rPr>
          <w:rFonts w:hint="eastAsia" w:ascii="Arial" w:eastAsia="宋体"/>
          <w:sz w:val="21"/>
          <w:lang w:eastAsia="zh-CN"/>
        </w:rPr>
      </w:pPr>
      <w:r>
        <w:rPr>
          <w:rFonts w:hint="eastAsia" w:ascii="Arial" w:eastAsia="宋体"/>
          <w:sz w:val="21"/>
          <w:lang w:eastAsia="zh-CN"/>
        </w:rPr>
        <w:drawing>
          <wp:inline distT="0" distB="0" distL="114300" distR="114300">
            <wp:extent cx="5155565" cy="7038975"/>
            <wp:effectExtent l="0" t="0" r="6985" b="9525"/>
            <wp:docPr id="13" name="图片 13" descr="0ceb8290ceba1fa02e863425dd76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ceb8290ceba1fa02e863425dd76d10"/>
                    <pic:cNvPicPr>
                      <a:picLocks noChangeAspect="1"/>
                    </pic:cNvPicPr>
                  </pic:nvPicPr>
                  <pic:blipFill>
                    <a:blip r:embed="rId13"/>
                    <a:stretch>
                      <a:fillRect/>
                    </a:stretch>
                  </pic:blipFill>
                  <pic:spPr>
                    <a:xfrm>
                      <a:off x="0" y="0"/>
                      <a:ext cx="5155565" cy="7038975"/>
                    </a:xfrm>
                    <a:prstGeom prst="rect">
                      <a:avLst/>
                    </a:prstGeom>
                  </pic:spPr>
                </pic:pic>
              </a:graphicData>
            </a:graphic>
          </wp:inline>
        </w:drawing>
      </w:r>
    </w:p>
    <w:p>
      <w:pPr>
        <w:rPr>
          <w:rFonts w:ascii="Arial"/>
          <w:sz w:val="21"/>
        </w:rPr>
      </w:pPr>
    </w:p>
    <w:p>
      <w:pPr>
        <w:rPr>
          <w:rFonts w:ascii="Arial"/>
          <w:sz w:val="21"/>
        </w:rPr>
      </w:pPr>
    </w:p>
    <w:p>
      <w:pPr>
        <w:rPr>
          <w:rFonts w:hint="eastAsia" w:ascii="Arial" w:eastAsia="宋体"/>
          <w:sz w:val="21"/>
          <w:lang w:eastAsia="zh-CN"/>
        </w:rPr>
      </w:pPr>
      <w:r>
        <w:rPr>
          <w:rFonts w:hint="eastAsia" w:ascii="Arial" w:eastAsia="宋体"/>
          <w:sz w:val="21"/>
          <w:lang w:eastAsia="zh-CN"/>
        </w:rPr>
        <w:drawing>
          <wp:inline distT="0" distB="0" distL="114300" distR="114300">
            <wp:extent cx="9288780" cy="1856105"/>
            <wp:effectExtent l="0" t="0" r="7620" b="10795"/>
            <wp:docPr id="14" name="图片 14" descr="75813aa68b95227e1856f895c371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75813aa68b95227e1856f895c371e68"/>
                    <pic:cNvPicPr>
                      <a:picLocks noChangeAspect="1"/>
                    </pic:cNvPicPr>
                  </pic:nvPicPr>
                  <pic:blipFill>
                    <a:blip r:embed="rId14"/>
                    <a:stretch>
                      <a:fillRect/>
                    </a:stretch>
                  </pic:blipFill>
                  <pic:spPr>
                    <a:xfrm>
                      <a:off x="0" y="0"/>
                      <a:ext cx="9288780" cy="1856105"/>
                    </a:xfrm>
                    <a:prstGeom prst="rect">
                      <a:avLst/>
                    </a:prstGeom>
                  </pic:spPr>
                </pic:pic>
              </a:graphicData>
            </a:graphic>
          </wp:inline>
        </w:drawing>
      </w:r>
    </w:p>
    <w:p>
      <w:pPr>
        <w:spacing w:line="14" w:lineRule="auto"/>
        <w:rPr>
          <w:rFonts w:ascii="Arial" w:hAnsi="Arial" w:eastAsia="Arial" w:cs="Arial"/>
          <w:sz w:val="2"/>
          <w:szCs w:val="2"/>
        </w:rPr>
      </w:pPr>
    </w:p>
    <w:p>
      <w:pPr>
        <w:bidi w:val="0"/>
        <w:rPr>
          <w:rFonts w:ascii="Arial" w:hAnsi="Arial" w:eastAsia="Arial" w:cs="Arial"/>
          <w:snapToGrid w:val="0"/>
          <w:color w:val="000000"/>
          <w:kern w:val="0"/>
          <w:sz w:val="21"/>
          <w:szCs w:val="21"/>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jc w:val="left"/>
        <w:rPr>
          <w:rFonts w:hint="eastAsia" w:eastAsia="宋体"/>
          <w:lang w:val="en-US" w:eastAsia="zh-CN"/>
        </w:rPr>
        <w:sectPr>
          <w:type w:val="continuous"/>
          <w:pgSz w:w="16837" w:h="11905"/>
          <w:pgMar w:top="400" w:right="1109" w:bottom="400" w:left="1089" w:header="0" w:footer="0" w:gutter="0"/>
          <w:cols w:equalWidth="0" w:num="1">
            <w:col w:w="14638"/>
          </w:cols>
        </w:sectPr>
      </w:pPr>
      <w:r>
        <w:rPr>
          <w:rFonts w:hint="eastAsia" w:eastAsia="宋体"/>
          <w:lang w:val="en-US" w:eastAsia="zh-CN"/>
        </w:rPr>
        <w:drawing>
          <wp:inline distT="0" distB="0" distL="114300" distR="114300">
            <wp:extent cx="9292590" cy="1853565"/>
            <wp:effectExtent l="0" t="0" r="3810" b="13335"/>
            <wp:docPr id="15" name="图片 15" descr="88c43a4eaa868b7708d9768833b2e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88c43a4eaa868b7708d9768833b2e96"/>
                    <pic:cNvPicPr>
                      <a:picLocks noChangeAspect="1"/>
                    </pic:cNvPicPr>
                  </pic:nvPicPr>
                  <pic:blipFill>
                    <a:blip r:embed="rId15"/>
                    <a:stretch>
                      <a:fillRect/>
                    </a:stretch>
                  </pic:blipFill>
                  <pic:spPr>
                    <a:xfrm>
                      <a:off x="0" y="0"/>
                      <a:ext cx="9292590" cy="1853565"/>
                    </a:xfrm>
                    <a:prstGeom prst="rect">
                      <a:avLst/>
                    </a:prstGeom>
                  </pic:spPr>
                </pic:pic>
              </a:graphicData>
            </a:graphic>
          </wp:inline>
        </w:drawing>
      </w:r>
    </w:p>
    <w:p>
      <w:pPr>
        <w:rPr>
          <w:rFonts w:ascii="Arial"/>
          <w:sz w:val="21"/>
        </w:rPr>
      </w:pPr>
    </w:p>
    <w:p>
      <w:pPr>
        <w:rPr>
          <w:rFonts w:ascii="Arial"/>
          <w:sz w:val="21"/>
        </w:rPr>
      </w:pPr>
    </w:p>
    <w:p>
      <w:pPr>
        <w:rPr>
          <w:rFonts w:ascii="Arial"/>
          <w:sz w:val="21"/>
        </w:rPr>
      </w:pPr>
    </w:p>
    <w:p>
      <w:pPr>
        <w:spacing w:line="14" w:lineRule="auto"/>
        <w:rPr>
          <w:rFonts w:ascii="Arial"/>
          <w:sz w:val="2"/>
        </w:rPr>
      </w:pPr>
    </w:p>
    <w:p>
      <w:pPr>
        <w:spacing w:line="14" w:lineRule="auto"/>
        <w:rPr>
          <w:rFonts w:ascii="Arial" w:hAnsi="Arial" w:eastAsia="Arial" w:cs="Arial"/>
          <w:sz w:val="2"/>
          <w:szCs w:val="2"/>
        </w:rPr>
        <w:sectPr>
          <w:type w:val="continuous"/>
          <w:pgSz w:w="16837" w:h="11905"/>
          <w:pgMar w:top="400" w:right="1109" w:bottom="400" w:left="1089" w:header="0" w:footer="0" w:gutter="0"/>
          <w:cols w:equalWidth="0" w:num="1">
            <w:col w:w="14638"/>
          </w:cols>
        </w:sectPr>
      </w:pPr>
    </w:p>
    <w:p>
      <w:pPr>
        <w:spacing w:line="258" w:lineRule="auto"/>
        <w:rPr>
          <w:rFonts w:ascii="Arial"/>
          <w:sz w:val="21"/>
        </w:rPr>
      </w:pPr>
    </w:p>
    <w:p>
      <w:pPr>
        <w:spacing w:line="259" w:lineRule="auto"/>
        <w:rPr>
          <w:rFonts w:hint="eastAsia" w:ascii="Arial" w:eastAsia="宋体"/>
          <w:sz w:val="21"/>
          <w:lang w:eastAsia="zh-CN"/>
        </w:rPr>
      </w:pPr>
      <w:r>
        <w:rPr>
          <w:rFonts w:hint="eastAsia" w:ascii="Arial" w:eastAsia="宋体"/>
          <w:sz w:val="21"/>
          <w:lang w:eastAsia="zh-CN"/>
        </w:rPr>
        <w:drawing>
          <wp:inline distT="0" distB="0" distL="114300" distR="114300">
            <wp:extent cx="9569450" cy="1802130"/>
            <wp:effectExtent l="0" t="0" r="12700" b="7620"/>
            <wp:docPr id="16" name="图片 16" descr="a7788b393d948ee31eb185dcc8ec3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a7788b393d948ee31eb185dcc8ec3e5"/>
                    <pic:cNvPicPr>
                      <a:picLocks noChangeAspect="1"/>
                    </pic:cNvPicPr>
                  </pic:nvPicPr>
                  <pic:blipFill>
                    <a:blip r:embed="rId16"/>
                    <a:stretch>
                      <a:fillRect/>
                    </a:stretch>
                  </pic:blipFill>
                  <pic:spPr>
                    <a:xfrm>
                      <a:off x="0" y="0"/>
                      <a:ext cx="9569450" cy="1802130"/>
                    </a:xfrm>
                    <a:prstGeom prst="rect">
                      <a:avLst/>
                    </a:prstGeom>
                  </pic:spPr>
                </pic:pic>
              </a:graphicData>
            </a:graphic>
          </wp:inline>
        </w:drawing>
      </w:r>
    </w:p>
    <w:p>
      <w:pPr>
        <w:spacing w:line="259" w:lineRule="auto"/>
        <w:rPr>
          <w:rFonts w:ascii="Arial"/>
          <w:sz w:val="21"/>
        </w:rPr>
      </w:pPr>
    </w:p>
    <w:p>
      <w:pPr>
        <w:spacing w:line="14" w:lineRule="auto"/>
        <w:rPr>
          <w:rFonts w:ascii="Arial"/>
          <w:sz w:val="2"/>
        </w:rPr>
      </w:pPr>
    </w:p>
    <w:p>
      <w:pPr>
        <w:bidi w:val="0"/>
        <w:rPr>
          <w:rFonts w:ascii="Arial" w:hAnsi="Arial" w:eastAsia="Arial" w:cs="Arial"/>
          <w:snapToGrid w:val="0"/>
          <w:color w:val="000000"/>
          <w:kern w:val="0"/>
          <w:sz w:val="21"/>
          <w:szCs w:val="21"/>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spacing w:before="103" w:line="206" w:lineRule="auto"/>
        <w:ind w:firstLine="4200" w:firstLineChars="2000"/>
        <w:rPr>
          <w:rFonts w:ascii="宋体" w:hAnsi="宋体"/>
          <w:spacing w:val="4"/>
          <w:sz w:val="44"/>
          <w:szCs w:val="44"/>
        </w:rPr>
      </w:pPr>
      <w:r>
        <w:rPr>
          <w:rFonts w:hint="eastAsia" w:eastAsia="宋体"/>
          <w:lang w:val="en-US" w:eastAsia="zh-CN"/>
        </w:rPr>
        <w:tab/>
      </w:r>
      <w:r>
        <w:rPr>
          <w:rFonts w:ascii="宋体" w:hAnsi="宋体" w:cs="宋体"/>
          <w:spacing w:val="4"/>
          <w:sz w:val="44"/>
          <w:szCs w:val="44"/>
        </w:rPr>
        <w:t>202</w:t>
      </w:r>
      <w:r>
        <w:rPr>
          <w:rFonts w:hint="eastAsia" w:ascii="宋体" w:hAnsi="宋体" w:cs="宋体"/>
          <w:spacing w:val="4"/>
          <w:sz w:val="44"/>
          <w:szCs w:val="44"/>
          <w:lang w:val="en-US" w:eastAsia="zh-CN"/>
        </w:rPr>
        <w:t>4</w:t>
      </w:r>
      <w:r>
        <w:rPr>
          <w:rFonts w:hint="eastAsia" w:ascii="宋体" w:hAnsi="宋体" w:cs="宋体"/>
          <w:spacing w:val="4"/>
          <w:sz w:val="44"/>
          <w:szCs w:val="44"/>
        </w:rPr>
        <w:t>年部门整体支出绩效目标表</w:t>
      </w:r>
    </w:p>
    <w:tbl>
      <w:tblPr>
        <w:tblStyle w:val="4"/>
        <w:tblpPr w:leftFromText="180" w:rightFromText="180" w:vertAnchor="text" w:horzAnchor="page" w:tblpX="3661" w:tblpY="110"/>
        <w:tblOverlap w:val="never"/>
        <w:tblW w:w="93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6"/>
        <w:gridCol w:w="789"/>
        <w:gridCol w:w="1538"/>
        <w:gridCol w:w="2268"/>
        <w:gridCol w:w="1112"/>
        <w:gridCol w:w="1179"/>
        <w:gridCol w:w="1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16" w:type="dxa"/>
            <w:tcBorders>
              <w:top w:val="single" w:color="000000" w:sz="2" w:space="0"/>
              <w:bottom w:val="single" w:color="000000" w:sz="2" w:space="0"/>
            </w:tcBorders>
          </w:tcPr>
          <w:p>
            <w:pPr>
              <w:spacing w:before="190" w:line="219" w:lineRule="auto"/>
              <w:ind w:firstLine="135"/>
              <w:rPr>
                <w:rFonts w:ascii="宋体" w:hAnsi="宋体"/>
              </w:rPr>
            </w:pPr>
            <w:r>
              <w:rPr>
                <w:rFonts w:hint="eastAsia" w:ascii="宋体" w:hAnsi="宋体" w:cs="宋体"/>
                <w:spacing w:val="2"/>
              </w:rPr>
              <w:t>部门名称</w:t>
            </w:r>
          </w:p>
        </w:tc>
        <w:tc>
          <w:tcPr>
            <w:tcW w:w="8223" w:type="dxa"/>
            <w:gridSpan w:val="6"/>
            <w:tcBorders>
              <w:top w:val="single" w:color="000000" w:sz="2" w:space="0"/>
              <w:bottom w:val="single" w:color="000000" w:sz="2" w:space="0"/>
            </w:tcBorders>
            <w:vAlign w:val="center"/>
          </w:tcPr>
          <w:p>
            <w:r>
              <w:t>新建区财政局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16" w:type="dxa"/>
            <w:tcBorders>
              <w:top w:val="single" w:color="000000" w:sz="2" w:space="0"/>
              <w:bottom w:val="single" w:color="000000" w:sz="2" w:space="0"/>
            </w:tcBorders>
          </w:tcPr>
          <w:p>
            <w:pPr>
              <w:spacing w:before="185" w:line="221" w:lineRule="auto"/>
              <w:ind w:firstLine="245"/>
              <w:rPr>
                <w:rFonts w:ascii="宋体" w:hAnsi="宋体"/>
              </w:rPr>
            </w:pPr>
            <w:r>
              <w:rPr>
                <w:rFonts w:hint="eastAsia" w:ascii="宋体" w:hAnsi="宋体" w:cs="宋体"/>
                <w:spacing w:val="-3"/>
              </w:rPr>
              <w:t>联系人</w:t>
            </w:r>
          </w:p>
        </w:tc>
        <w:tc>
          <w:tcPr>
            <w:tcW w:w="4595" w:type="dxa"/>
            <w:gridSpan w:val="3"/>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毛小荣</w:t>
            </w:r>
          </w:p>
        </w:tc>
        <w:tc>
          <w:tcPr>
            <w:tcW w:w="1112" w:type="dxa"/>
            <w:tcBorders>
              <w:top w:val="single" w:color="000000" w:sz="2" w:space="0"/>
              <w:bottom w:val="single" w:color="000000" w:sz="2" w:space="0"/>
            </w:tcBorders>
          </w:tcPr>
          <w:p>
            <w:pPr>
              <w:spacing w:before="185" w:line="221" w:lineRule="auto"/>
              <w:ind w:firstLine="146"/>
              <w:rPr>
                <w:rFonts w:ascii="宋体" w:hAnsi="宋体"/>
              </w:rPr>
            </w:pPr>
            <w:r>
              <w:rPr>
                <w:rFonts w:hint="eastAsia" w:ascii="宋体" w:hAnsi="宋体" w:cs="宋体"/>
                <w:spacing w:val="-2"/>
              </w:rPr>
              <w:t>联系电话</w:t>
            </w:r>
          </w:p>
        </w:tc>
        <w:tc>
          <w:tcPr>
            <w:tcW w:w="2516" w:type="dxa"/>
            <w:gridSpan w:val="2"/>
            <w:tcBorders>
              <w:top w:val="single" w:color="000000" w:sz="2" w:space="0"/>
              <w:bottom w:val="single" w:color="000000" w:sz="2" w:space="0"/>
            </w:tcBorders>
            <w:vAlign w:val="center"/>
          </w:tcPr>
          <w:p>
            <w:pPr>
              <w:jc w:val="center"/>
            </w:pPr>
            <w:r>
              <w:rPr>
                <w:rFonts w:hint="eastAsia"/>
              </w:rPr>
              <w:t>0791-83703333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39" w:type="dxa"/>
            <w:gridSpan w:val="7"/>
            <w:tcBorders>
              <w:top w:val="single" w:color="000000" w:sz="2" w:space="0"/>
              <w:bottom w:val="single" w:color="000000" w:sz="2" w:space="0"/>
            </w:tcBorders>
          </w:tcPr>
          <w:p>
            <w:pPr>
              <w:spacing w:before="185" w:line="219" w:lineRule="auto"/>
              <w:ind w:firstLine="4095"/>
              <w:rPr>
                <w:rFonts w:ascii="宋体" w:hAnsi="宋体"/>
              </w:rPr>
            </w:pPr>
            <w:r>
              <w:rPr>
                <w:rFonts w:hint="eastAsia" w:ascii="宋体" w:hAnsi="宋体" w:cs="宋体"/>
                <w:spacing w:val="2"/>
              </w:rPr>
              <w:t>部门基本信息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部门所属领域</w:t>
            </w:r>
          </w:p>
        </w:tc>
        <w:tc>
          <w:tcPr>
            <w:tcW w:w="3806" w:type="dxa"/>
            <w:gridSpan w:val="2"/>
            <w:tcBorders>
              <w:top w:val="single" w:color="000000" w:sz="2" w:space="0"/>
              <w:bottom w:val="single" w:color="000000" w:sz="2" w:space="0"/>
            </w:tcBorders>
            <w:vAlign w:val="center"/>
          </w:tcPr>
          <w:p>
            <w:pPr>
              <w:rPr>
                <w:rFonts w:hint="eastAsia" w:eastAsia="宋体"/>
                <w:lang w:eastAsia="zh-CN"/>
              </w:rPr>
            </w:pPr>
            <w:r>
              <w:rPr>
                <w:rFonts w:hint="eastAsia"/>
                <w:lang w:val="en-US" w:eastAsia="zh-CN"/>
              </w:rPr>
              <w:t>财政</w:t>
            </w:r>
          </w:p>
        </w:tc>
        <w:tc>
          <w:tcPr>
            <w:tcW w:w="2291" w:type="dxa"/>
            <w:gridSpan w:val="2"/>
            <w:tcBorders>
              <w:top w:val="single" w:color="000000" w:sz="2" w:space="0"/>
              <w:bottom w:val="single" w:color="000000" w:sz="2" w:space="0"/>
            </w:tcBorders>
            <w:vAlign w:val="center"/>
          </w:tcPr>
          <w:p>
            <w:pPr>
              <w:spacing w:before="186" w:line="220" w:lineRule="auto"/>
              <w:ind w:firstLine="525"/>
              <w:rPr>
                <w:rFonts w:ascii="宋体" w:hAnsi="宋体"/>
              </w:rPr>
            </w:pPr>
            <w:r>
              <w:rPr>
                <w:rFonts w:hint="eastAsia" w:ascii="宋体" w:hAnsi="宋体" w:cs="宋体"/>
                <w:spacing w:val="-2"/>
              </w:rPr>
              <w:t>直属单位包括</w:t>
            </w:r>
          </w:p>
        </w:tc>
        <w:tc>
          <w:tcPr>
            <w:tcW w:w="1337" w:type="dxa"/>
            <w:tcBorders>
              <w:top w:val="single" w:color="000000" w:sz="2" w:space="0"/>
              <w:bottom w:val="single" w:color="000000" w:sz="2"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3"/>
              </w:rPr>
              <w:t>内设职能部门</w:t>
            </w:r>
          </w:p>
        </w:tc>
        <w:tc>
          <w:tcPr>
            <w:tcW w:w="3806" w:type="dxa"/>
            <w:gridSpan w:val="2"/>
            <w:tcBorders>
              <w:top w:val="single" w:color="000000" w:sz="2" w:space="0"/>
              <w:bottom w:val="single" w:color="000000" w:sz="2" w:space="0"/>
            </w:tcBorders>
            <w:vAlign w:val="center"/>
          </w:tcPr>
          <w:p>
            <w:r>
              <w:rPr>
                <w:rFonts w:hint="eastAsia"/>
              </w:rPr>
              <w:t>15</w:t>
            </w:r>
          </w:p>
        </w:tc>
        <w:tc>
          <w:tcPr>
            <w:tcW w:w="2291" w:type="dxa"/>
            <w:gridSpan w:val="2"/>
            <w:tcBorders>
              <w:top w:val="single" w:color="000000" w:sz="2" w:space="0"/>
              <w:bottom w:val="single" w:color="000000" w:sz="2" w:space="0"/>
            </w:tcBorders>
            <w:vAlign w:val="center"/>
          </w:tcPr>
          <w:p>
            <w:pPr>
              <w:spacing w:before="186" w:line="219" w:lineRule="auto"/>
              <w:ind w:firstLine="636"/>
              <w:rPr>
                <w:rFonts w:ascii="宋体" w:hAnsi="宋体"/>
              </w:rPr>
            </w:pPr>
            <w:r>
              <w:rPr>
                <w:rFonts w:hint="eastAsia" w:ascii="宋体" w:hAnsi="宋体" w:cs="宋体"/>
                <w:spacing w:val="-2"/>
              </w:rPr>
              <w:t>编制控制数</w:t>
            </w:r>
          </w:p>
        </w:tc>
        <w:tc>
          <w:tcPr>
            <w:tcW w:w="1337" w:type="dxa"/>
            <w:tcBorders>
              <w:top w:val="single" w:color="000000" w:sz="2" w:space="0"/>
              <w:bottom w:val="single" w:color="000000" w:sz="2" w:space="0"/>
            </w:tcBorders>
            <w:vAlign w:val="center"/>
          </w:tcPr>
          <w:p>
            <w:pPr>
              <w:rPr>
                <w:rFonts w:hint="eastAsia" w:eastAsia="宋体"/>
                <w:lang w:eastAsia="zh-CN"/>
              </w:rPr>
            </w:pPr>
            <w:r>
              <w:rPr>
                <w:rFonts w:hint="eastAsia"/>
              </w:rPr>
              <w:t>12</w:t>
            </w:r>
            <w:r>
              <w:rPr>
                <w:rFonts w:hint="eastAsia" w:eastAsia="宋体"/>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在职人员总数</w:t>
            </w:r>
          </w:p>
        </w:tc>
        <w:tc>
          <w:tcPr>
            <w:tcW w:w="3806" w:type="dxa"/>
            <w:gridSpan w:val="2"/>
            <w:tcBorders>
              <w:top w:val="single" w:color="000000" w:sz="2" w:space="0"/>
              <w:bottom w:val="single" w:color="000000" w:sz="2" w:space="0"/>
            </w:tcBorders>
            <w:vAlign w:val="center"/>
          </w:tcPr>
          <w:p>
            <w:pPr>
              <w:rPr>
                <w:rFonts w:hint="eastAsia" w:eastAsia="宋体"/>
                <w:lang w:eastAsia="zh-CN"/>
              </w:rPr>
            </w:pPr>
            <w:r>
              <w:rPr>
                <w:rFonts w:hint="eastAsia"/>
              </w:rPr>
              <w:t>12</w:t>
            </w:r>
            <w:r>
              <w:rPr>
                <w:rFonts w:hint="eastAsia" w:eastAsia="宋体"/>
                <w:lang w:val="en-US" w:eastAsia="zh-CN"/>
              </w:rPr>
              <w:t>4</w:t>
            </w:r>
          </w:p>
        </w:tc>
        <w:tc>
          <w:tcPr>
            <w:tcW w:w="2291" w:type="dxa"/>
            <w:gridSpan w:val="2"/>
            <w:tcBorders>
              <w:top w:val="single" w:color="000000" w:sz="2" w:space="0"/>
              <w:bottom w:val="single" w:color="000000" w:sz="2" w:space="0"/>
            </w:tcBorders>
            <w:vAlign w:val="center"/>
          </w:tcPr>
          <w:p>
            <w:pPr>
              <w:spacing w:before="186" w:line="219" w:lineRule="auto"/>
              <w:ind w:firstLine="2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行政编制人数</w:t>
            </w:r>
          </w:p>
        </w:tc>
        <w:tc>
          <w:tcPr>
            <w:tcW w:w="1337" w:type="dxa"/>
            <w:tcBorders>
              <w:top w:val="single" w:color="000000" w:sz="2" w:space="0"/>
              <w:bottom w:val="single" w:color="000000" w:sz="2" w:space="0"/>
            </w:tcBorders>
            <w:vAlign w:val="center"/>
          </w:tcPr>
          <w:p>
            <w:pPr>
              <w:rPr>
                <w:rFonts w:hint="default" w:eastAsia="宋体"/>
                <w:lang w:val="en-US" w:eastAsia="zh-CN"/>
              </w:rPr>
            </w:pPr>
            <w:r>
              <w:rPr>
                <w:rFonts w:hint="eastAsia" w:eastAsia="宋体"/>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事业编制人数</w:t>
            </w:r>
          </w:p>
        </w:tc>
        <w:tc>
          <w:tcPr>
            <w:tcW w:w="3806"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eastAsia="宋体"/>
                <w:lang w:val="en-US" w:eastAsia="zh-CN"/>
              </w:rPr>
              <w:t>96</w:t>
            </w:r>
          </w:p>
        </w:tc>
        <w:tc>
          <w:tcPr>
            <w:tcW w:w="2291" w:type="dxa"/>
            <w:gridSpan w:val="2"/>
            <w:tcBorders>
              <w:top w:val="single" w:color="000000" w:sz="2" w:space="0"/>
              <w:bottom w:val="single" w:color="000000" w:sz="2" w:space="0"/>
            </w:tcBorders>
            <w:vAlign w:val="center"/>
          </w:tcPr>
          <w:p>
            <w:pPr>
              <w:spacing w:before="186" w:line="219" w:lineRule="auto"/>
              <w:ind w:firstLine="736"/>
              <w:rPr>
                <w:rFonts w:ascii="宋体" w:hAnsi="宋体"/>
              </w:rPr>
            </w:pPr>
            <w:r>
              <w:rPr>
                <w:rFonts w:hint="eastAsia" w:ascii="宋体" w:hAnsi="宋体" w:cs="宋体"/>
                <w:spacing w:val="-2"/>
              </w:rPr>
              <w:t>编外人数</w:t>
            </w:r>
          </w:p>
        </w:tc>
        <w:tc>
          <w:tcPr>
            <w:tcW w:w="1337" w:type="dxa"/>
            <w:tcBorders>
              <w:top w:val="single" w:color="000000" w:sz="2" w:space="0"/>
              <w:bottom w:val="single" w:color="000000" w:sz="2" w:space="0"/>
            </w:tcBorders>
            <w:vAlign w:val="center"/>
          </w:tcPr>
          <w:p>
            <w:pPr>
              <w:jc w:val="center"/>
            </w:pPr>
            <w:r>
              <w:rPr>
                <w:rFonts w:hint="eastAsia"/>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39" w:type="dxa"/>
            <w:gridSpan w:val="7"/>
            <w:tcBorders>
              <w:top w:val="single" w:color="000000" w:sz="2" w:space="0"/>
              <w:bottom w:val="single" w:color="000000" w:sz="2" w:space="0"/>
            </w:tcBorders>
            <w:vAlign w:val="center"/>
          </w:tcPr>
          <w:p>
            <w:pPr>
              <w:spacing w:before="186" w:line="219" w:lineRule="auto"/>
              <w:ind w:firstLine="3775"/>
              <w:rPr>
                <w:rFonts w:ascii="宋体" w:hAnsi="宋体"/>
              </w:rPr>
            </w:pPr>
            <w:r>
              <w:rPr>
                <w:rFonts w:hint="eastAsia" w:ascii="宋体" w:hAnsi="宋体" w:cs="宋体"/>
                <w:spacing w:val="-5"/>
              </w:rPr>
              <w:t>当年预算情况</w:t>
            </w:r>
            <w:r>
              <w:rPr>
                <w:rFonts w:ascii="宋体" w:hAnsi="宋体" w:cs="宋体"/>
                <w:spacing w:val="-5"/>
              </w:rPr>
              <w:t>(</w:t>
            </w:r>
            <w:r>
              <w:rPr>
                <w:rFonts w:hint="eastAsia" w:ascii="宋体" w:hAnsi="宋体" w:cs="宋体"/>
                <w:spacing w:val="-5"/>
              </w:rPr>
              <w:t>万元</w:t>
            </w:r>
            <w:r>
              <w:rPr>
                <w:rFonts w:ascii="宋体" w:hAnsi="宋体" w:cs="宋体"/>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tcBorders>
              <w:top w:val="single" w:color="000000" w:sz="2" w:space="0"/>
              <w:bottom w:val="single" w:color="000000" w:sz="2" w:space="0"/>
            </w:tcBorders>
          </w:tcPr>
          <w:p>
            <w:pPr>
              <w:spacing w:before="196" w:line="219" w:lineRule="auto"/>
              <w:ind w:firstLine="614"/>
              <w:rPr>
                <w:rFonts w:ascii="宋体" w:hAnsi="宋体"/>
              </w:rPr>
            </w:pPr>
            <w:r>
              <w:rPr>
                <w:rFonts w:hint="eastAsia" w:ascii="宋体" w:hAnsi="宋体" w:cs="宋体"/>
                <w:spacing w:val="1"/>
              </w:rPr>
              <w:t>收入预算合计</w:t>
            </w:r>
          </w:p>
        </w:tc>
        <w:tc>
          <w:tcPr>
            <w:tcW w:w="3806" w:type="dxa"/>
            <w:gridSpan w:val="2"/>
            <w:tcBorders>
              <w:top w:val="single" w:color="000000" w:sz="2" w:space="0"/>
              <w:bottom w:val="single" w:color="000000" w:sz="2" w:space="0"/>
            </w:tcBorders>
            <w:vAlign w:val="center"/>
          </w:tcPr>
          <w:p>
            <w:pPr>
              <w:pStyle w:val="2"/>
              <w:rPr>
                <w:rFonts w:hint="default"/>
                <w:lang w:val="en-US" w:eastAsia="zh-CN"/>
              </w:rPr>
            </w:pPr>
            <w:r>
              <w:rPr>
                <w:rFonts w:hint="eastAsia"/>
                <w:lang w:val="en-US" w:eastAsia="zh-CN"/>
              </w:rPr>
              <w:t>2901.74</w:t>
            </w:r>
          </w:p>
        </w:tc>
        <w:tc>
          <w:tcPr>
            <w:tcW w:w="2291" w:type="dxa"/>
            <w:gridSpan w:val="2"/>
            <w:tcBorders>
              <w:top w:val="single" w:color="000000" w:sz="2" w:space="0"/>
              <w:bottom w:val="single" w:color="000000" w:sz="2" w:space="0"/>
            </w:tcBorders>
            <w:vAlign w:val="center"/>
          </w:tcPr>
          <w:p>
            <w:pPr>
              <w:spacing w:before="196" w:line="219" w:lineRule="auto"/>
              <w:ind w:firstLine="255"/>
              <w:rPr>
                <w:rFonts w:ascii="宋体" w:hAnsi="宋体"/>
              </w:rPr>
            </w:pPr>
            <w:r>
              <w:rPr>
                <w:rFonts w:hint="eastAsia" w:ascii="宋体" w:hAnsi="宋体" w:cs="宋体"/>
                <w:spacing w:val="1"/>
              </w:rPr>
              <w:t>其中</w:t>
            </w:r>
            <w:r>
              <w:rPr>
                <w:rFonts w:ascii="宋体" w:hAnsi="宋体" w:cs="宋体"/>
                <w:spacing w:val="1"/>
              </w:rPr>
              <w:t>:</w:t>
            </w:r>
            <w:r>
              <w:rPr>
                <w:rFonts w:hint="eastAsia" w:ascii="宋体" w:hAnsi="宋体" w:cs="宋体"/>
                <w:spacing w:val="1"/>
              </w:rPr>
              <w:t>上级财政拨款</w:t>
            </w:r>
          </w:p>
        </w:tc>
        <w:tc>
          <w:tcPr>
            <w:tcW w:w="1337" w:type="dxa"/>
            <w:tcBorders>
              <w:top w:val="single" w:color="000000" w:sz="2" w:space="0"/>
              <w:bottom w:val="single" w:color="000000" w:sz="2"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tcBorders>
              <w:top w:val="single" w:color="000000" w:sz="2" w:space="0"/>
              <w:bottom w:val="single" w:color="000000" w:sz="2" w:space="0"/>
            </w:tcBorders>
          </w:tcPr>
          <w:p>
            <w:pPr>
              <w:spacing w:before="135" w:line="219" w:lineRule="auto"/>
              <w:ind w:firstLine="614"/>
              <w:rPr>
                <w:rFonts w:ascii="宋体" w:hAnsi="宋体"/>
              </w:rPr>
            </w:pPr>
            <w:r>
              <w:rPr>
                <w:rFonts w:hint="eastAsia" w:ascii="宋体" w:hAnsi="宋体" w:cs="宋体"/>
                <w:spacing w:val="-2"/>
              </w:rPr>
              <w:t>本级财政安排</w:t>
            </w:r>
          </w:p>
        </w:tc>
        <w:tc>
          <w:tcPr>
            <w:tcW w:w="3806"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2701.74</w:t>
            </w:r>
          </w:p>
        </w:tc>
        <w:tc>
          <w:tcPr>
            <w:tcW w:w="2291" w:type="dxa"/>
            <w:gridSpan w:val="2"/>
            <w:tcBorders>
              <w:top w:val="single" w:color="000000" w:sz="2" w:space="0"/>
              <w:bottom w:val="single" w:color="000000" w:sz="2" w:space="0"/>
            </w:tcBorders>
            <w:vAlign w:val="center"/>
          </w:tcPr>
          <w:p>
            <w:pPr>
              <w:spacing w:before="136" w:line="220" w:lineRule="auto"/>
              <w:ind w:firstLine="736"/>
              <w:rPr>
                <w:rFonts w:ascii="宋体" w:hAnsi="宋体"/>
              </w:rPr>
            </w:pPr>
            <w:r>
              <w:rPr>
                <w:rFonts w:hint="eastAsia" w:ascii="宋体" w:hAnsi="宋体" w:cs="宋体"/>
                <w:spacing w:val="-2"/>
              </w:rPr>
              <w:t>其他资金</w:t>
            </w:r>
          </w:p>
        </w:tc>
        <w:tc>
          <w:tcPr>
            <w:tcW w:w="1337" w:type="dxa"/>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tcBorders>
              <w:top w:val="single" w:color="000000" w:sz="2" w:space="0"/>
              <w:bottom w:val="single" w:color="000000" w:sz="2" w:space="0"/>
            </w:tcBorders>
          </w:tcPr>
          <w:p>
            <w:pPr>
              <w:spacing w:before="146" w:line="219" w:lineRule="auto"/>
              <w:ind w:firstLine="614"/>
              <w:rPr>
                <w:rFonts w:ascii="宋体" w:hAnsi="宋体"/>
              </w:rPr>
            </w:pPr>
            <w:r>
              <w:rPr>
                <w:rFonts w:hint="eastAsia" w:ascii="宋体" w:hAnsi="宋体" w:cs="宋体"/>
                <w:spacing w:val="-2"/>
              </w:rPr>
              <w:t>支出预算合计</w:t>
            </w:r>
          </w:p>
        </w:tc>
        <w:tc>
          <w:tcPr>
            <w:tcW w:w="3806" w:type="dxa"/>
            <w:gridSpan w:val="2"/>
            <w:tcBorders>
              <w:top w:val="single" w:color="000000" w:sz="2" w:space="0"/>
              <w:bottom w:val="single" w:color="000000" w:sz="2" w:space="0"/>
            </w:tcBorders>
            <w:vAlign w:val="center"/>
          </w:tcPr>
          <w:p>
            <w:pPr>
              <w:pStyle w:val="2"/>
              <w:ind w:left="420" w:leftChars="0" w:hanging="420" w:hangingChars="200"/>
              <w:rPr>
                <w:rFonts w:hint="default" w:ascii="Calibri" w:hAnsi="Calibri" w:eastAsia="Arial" w:cs="Calibri"/>
                <w:snapToGrid w:val="0"/>
                <w:color w:val="000000"/>
                <w:kern w:val="0"/>
                <w:sz w:val="21"/>
                <w:szCs w:val="21"/>
                <w:lang w:val="en-US" w:eastAsia="zh-CN" w:bidi="ar-SA"/>
              </w:rPr>
            </w:pPr>
            <w:r>
              <w:rPr>
                <w:rFonts w:hint="eastAsia"/>
                <w:lang w:val="en-US" w:eastAsia="zh-CN"/>
              </w:rPr>
              <w:t>2901.74</w:t>
            </w:r>
          </w:p>
        </w:tc>
        <w:tc>
          <w:tcPr>
            <w:tcW w:w="2291" w:type="dxa"/>
            <w:gridSpan w:val="2"/>
            <w:tcBorders>
              <w:top w:val="single" w:color="000000" w:sz="2" w:space="0"/>
              <w:bottom w:val="single" w:color="000000" w:sz="2" w:space="0"/>
            </w:tcBorders>
            <w:vAlign w:val="center"/>
          </w:tcPr>
          <w:p>
            <w:pPr>
              <w:spacing w:before="146" w:line="220" w:lineRule="auto"/>
              <w:ind w:firstLine="4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人员经费</w:t>
            </w:r>
          </w:p>
        </w:tc>
        <w:tc>
          <w:tcPr>
            <w:tcW w:w="1337" w:type="dxa"/>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2177.02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tcBorders>
              <w:top w:val="single" w:color="000000" w:sz="2" w:space="0"/>
              <w:bottom w:val="single" w:color="000000" w:sz="2" w:space="0"/>
            </w:tcBorders>
          </w:tcPr>
          <w:p>
            <w:pPr>
              <w:spacing w:before="186" w:line="220" w:lineRule="auto"/>
              <w:ind w:firstLine="825"/>
              <w:rPr>
                <w:rFonts w:ascii="宋体" w:hAnsi="宋体"/>
              </w:rPr>
            </w:pPr>
            <w:r>
              <w:rPr>
                <w:rFonts w:hint="eastAsia" w:ascii="宋体" w:hAnsi="宋体" w:cs="宋体"/>
                <w:spacing w:val="3"/>
              </w:rPr>
              <w:t>公用经费</w:t>
            </w:r>
          </w:p>
        </w:tc>
        <w:tc>
          <w:tcPr>
            <w:tcW w:w="3806"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360</w:t>
            </w:r>
          </w:p>
        </w:tc>
        <w:tc>
          <w:tcPr>
            <w:tcW w:w="2291" w:type="dxa"/>
            <w:gridSpan w:val="2"/>
            <w:tcBorders>
              <w:top w:val="single" w:color="000000" w:sz="2" w:space="0"/>
              <w:bottom w:val="single" w:color="000000" w:sz="2" w:space="0"/>
            </w:tcBorders>
            <w:vAlign w:val="center"/>
          </w:tcPr>
          <w:p>
            <w:pPr>
              <w:spacing w:before="186" w:line="220" w:lineRule="auto"/>
              <w:ind w:firstLine="736"/>
              <w:rPr>
                <w:rFonts w:ascii="宋体" w:hAnsi="宋体"/>
              </w:rPr>
            </w:pPr>
            <w:r>
              <w:rPr>
                <w:rFonts w:hint="eastAsia" w:ascii="宋体" w:hAnsi="宋体" w:cs="宋体"/>
                <w:spacing w:val="3"/>
              </w:rPr>
              <w:t>项目经费</w:t>
            </w:r>
          </w:p>
        </w:tc>
        <w:tc>
          <w:tcPr>
            <w:tcW w:w="1337" w:type="dxa"/>
            <w:tcBorders>
              <w:top w:val="single" w:color="000000" w:sz="2" w:space="0"/>
              <w:bottom w:val="single" w:color="000000" w:sz="2" w:space="0"/>
            </w:tcBorders>
            <w:vAlign w:val="center"/>
          </w:tcPr>
          <w:p>
            <w:pPr>
              <w:rPr>
                <w:rFonts w:hint="default"/>
                <w:lang w:val="en-US"/>
              </w:rPr>
            </w:pPr>
            <w:r>
              <w:rPr>
                <w:rFonts w:hint="eastAsia"/>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39" w:type="dxa"/>
            <w:gridSpan w:val="7"/>
            <w:tcBorders>
              <w:top w:val="single" w:color="000000" w:sz="2" w:space="0"/>
              <w:bottom w:val="single" w:color="000000" w:sz="2" w:space="0"/>
            </w:tcBorders>
          </w:tcPr>
          <w:p>
            <w:pPr>
              <w:spacing w:before="197" w:line="219" w:lineRule="auto"/>
              <w:ind w:firstLine="4095"/>
              <w:rPr>
                <w:rFonts w:ascii="宋体" w:hAnsi="宋体"/>
              </w:rPr>
            </w:pPr>
            <w:r>
              <w:rPr>
                <w:rFonts w:hint="eastAsia" w:ascii="宋体" w:hAnsi="宋体" w:cs="宋体"/>
                <w:spacing w:val="-2"/>
              </w:rPr>
              <w:t>年度绩效指标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tcBorders>
              <w:top w:val="single" w:color="000000" w:sz="2" w:space="0"/>
              <w:bottom w:val="single" w:color="000000" w:sz="2" w:space="0"/>
            </w:tcBorders>
          </w:tcPr>
          <w:p>
            <w:pPr>
              <w:spacing w:before="157" w:line="220" w:lineRule="auto"/>
              <w:ind w:firstLine="404"/>
              <w:rPr>
                <w:rFonts w:ascii="宋体" w:hAnsi="宋体"/>
              </w:rPr>
            </w:pPr>
            <w:r>
              <w:rPr>
                <w:rFonts w:hint="eastAsia" w:ascii="宋体" w:hAnsi="宋体" w:cs="宋体"/>
                <w:spacing w:val="-3"/>
              </w:rPr>
              <w:t>一级指标</w:t>
            </w:r>
          </w:p>
        </w:tc>
        <w:tc>
          <w:tcPr>
            <w:tcW w:w="1538" w:type="dxa"/>
            <w:tcBorders>
              <w:top w:val="single" w:color="000000" w:sz="2" w:space="0"/>
              <w:bottom w:val="single" w:color="000000" w:sz="2" w:space="0"/>
            </w:tcBorders>
          </w:tcPr>
          <w:p>
            <w:pPr>
              <w:spacing w:before="157" w:line="220" w:lineRule="auto"/>
              <w:ind w:firstLine="481"/>
              <w:rPr>
                <w:rFonts w:ascii="宋体" w:hAnsi="宋体"/>
              </w:rPr>
            </w:pPr>
            <w:r>
              <w:rPr>
                <w:rFonts w:hint="eastAsia" w:ascii="宋体" w:hAnsi="宋体" w:cs="宋体"/>
                <w:spacing w:val="-3"/>
              </w:rPr>
              <w:t>二级指标</w:t>
            </w:r>
          </w:p>
        </w:tc>
        <w:tc>
          <w:tcPr>
            <w:tcW w:w="2268" w:type="dxa"/>
            <w:tcBorders>
              <w:top w:val="single" w:color="000000" w:sz="2" w:space="0"/>
              <w:bottom w:val="single" w:color="000000" w:sz="2" w:space="0"/>
            </w:tcBorders>
          </w:tcPr>
          <w:p>
            <w:pPr>
              <w:spacing w:before="157" w:line="220" w:lineRule="auto"/>
              <w:ind w:firstLine="723"/>
              <w:rPr>
                <w:rFonts w:ascii="宋体" w:hAnsi="宋体"/>
              </w:rPr>
            </w:pPr>
            <w:r>
              <w:rPr>
                <w:rFonts w:hint="eastAsia" w:ascii="宋体" w:hAnsi="宋体" w:cs="宋体"/>
                <w:spacing w:val="-2"/>
              </w:rPr>
              <w:t>三级指标</w:t>
            </w:r>
          </w:p>
        </w:tc>
        <w:tc>
          <w:tcPr>
            <w:tcW w:w="3628" w:type="dxa"/>
            <w:gridSpan w:val="3"/>
            <w:tcBorders>
              <w:top w:val="single" w:color="000000" w:sz="2" w:space="0"/>
              <w:bottom w:val="single" w:color="000000" w:sz="2" w:space="0"/>
            </w:tcBorders>
          </w:tcPr>
          <w:p>
            <w:pPr>
              <w:spacing w:before="157" w:line="219" w:lineRule="auto"/>
              <w:ind w:firstLine="1516"/>
              <w:rPr>
                <w:rFonts w:ascii="宋体" w:hAnsi="宋体"/>
              </w:rPr>
            </w:pPr>
            <w:r>
              <w:rPr>
                <w:rFonts w:hint="eastAsia" w:ascii="宋体" w:hAnsi="宋体" w:cs="宋体"/>
                <w:spacing w:val="2"/>
              </w:rPr>
              <w:t>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vMerge w:val="restart"/>
            <w:tcBorders>
              <w:top w:val="single" w:color="000000" w:sz="2" w:space="0"/>
              <w:bottom w:val="nil"/>
            </w:tcBorders>
          </w:tcPr>
          <w:p>
            <w:pPr>
              <w:spacing w:line="298" w:lineRule="auto"/>
            </w:pPr>
          </w:p>
          <w:p>
            <w:pPr>
              <w:spacing w:line="298" w:lineRule="auto"/>
            </w:pPr>
          </w:p>
          <w:p>
            <w:pPr>
              <w:spacing w:line="298" w:lineRule="auto"/>
            </w:pPr>
          </w:p>
          <w:p>
            <w:pPr>
              <w:spacing w:before="69" w:line="219" w:lineRule="auto"/>
              <w:ind w:firstLine="404"/>
              <w:rPr>
                <w:rFonts w:ascii="宋体" w:hAnsi="宋体"/>
              </w:rPr>
            </w:pPr>
            <w:r>
              <w:rPr>
                <w:rFonts w:hint="eastAsia" w:ascii="宋体" w:hAnsi="宋体" w:cs="宋体"/>
                <w:spacing w:val="-2"/>
              </w:rPr>
              <w:t>产出指标</w:t>
            </w:r>
          </w:p>
        </w:tc>
        <w:tc>
          <w:tcPr>
            <w:tcW w:w="1538" w:type="dxa"/>
            <w:tcBorders>
              <w:top w:val="single" w:color="000000" w:sz="2" w:space="0"/>
              <w:bottom w:val="single" w:color="000000" w:sz="2" w:space="0"/>
            </w:tcBorders>
          </w:tcPr>
          <w:p>
            <w:pPr>
              <w:spacing w:before="158" w:line="219" w:lineRule="auto"/>
              <w:ind w:firstLine="481"/>
              <w:rPr>
                <w:rFonts w:ascii="宋体" w:hAnsi="宋体"/>
              </w:rPr>
            </w:pPr>
            <w:r>
              <w:rPr>
                <w:rFonts w:hint="eastAsia" w:ascii="宋体" w:hAnsi="宋体" w:cs="宋体"/>
                <w:spacing w:val="-2"/>
              </w:rPr>
              <w:t>数量指标</w:t>
            </w:r>
          </w:p>
        </w:tc>
        <w:tc>
          <w:tcPr>
            <w:tcW w:w="2268" w:type="dxa"/>
            <w:tcBorders>
              <w:top w:val="single" w:color="000000" w:sz="2" w:space="0"/>
              <w:bottom w:val="single" w:color="000000" w:sz="2" w:space="0"/>
            </w:tcBorders>
          </w:tcPr>
          <w:p/>
          <w:p>
            <w:pPr>
              <w:jc w:val="center"/>
            </w:pPr>
            <w:r>
              <w:rPr>
                <w:rFonts w:hint="eastAsia"/>
              </w:rPr>
              <w:t>服务对象数</w:t>
            </w:r>
          </w:p>
        </w:tc>
        <w:tc>
          <w:tcPr>
            <w:tcW w:w="3628" w:type="dxa"/>
            <w:gridSpan w:val="3"/>
            <w:tcBorders>
              <w:top w:val="single" w:color="000000" w:sz="2" w:space="0"/>
              <w:bottom w:val="single" w:color="000000" w:sz="2" w:space="0"/>
            </w:tcBorders>
          </w:tc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vMerge w:val="continue"/>
            <w:tcBorders>
              <w:top w:val="nil"/>
              <w:bottom w:val="nil"/>
            </w:tcBorders>
          </w:tcPr>
          <w:p/>
        </w:tc>
        <w:tc>
          <w:tcPr>
            <w:tcW w:w="1538" w:type="dxa"/>
            <w:tcBorders>
              <w:top w:val="single" w:color="000000" w:sz="2" w:space="0"/>
              <w:bottom w:val="single" w:color="000000" w:sz="2" w:space="0"/>
            </w:tcBorders>
          </w:tcPr>
          <w:p>
            <w:pPr>
              <w:spacing w:before="158" w:line="220" w:lineRule="auto"/>
              <w:ind w:firstLine="481"/>
              <w:rPr>
                <w:rFonts w:ascii="宋体" w:hAnsi="宋体"/>
              </w:rPr>
            </w:pPr>
            <w:r>
              <w:rPr>
                <w:rFonts w:hint="eastAsia" w:ascii="宋体" w:hAnsi="宋体" w:cs="宋体"/>
                <w:spacing w:val="-2"/>
              </w:rPr>
              <w:t>质量指标</w:t>
            </w:r>
          </w:p>
        </w:tc>
        <w:tc>
          <w:tcPr>
            <w:tcW w:w="2268" w:type="dxa"/>
            <w:tcBorders>
              <w:top w:val="single" w:color="000000" w:sz="2" w:space="0"/>
              <w:bottom w:val="single" w:color="000000" w:sz="2" w:space="0"/>
            </w:tcBorders>
          </w:tcPr>
          <w:p/>
          <w:p>
            <w:pPr>
              <w:jc w:val="center"/>
            </w:pPr>
            <w:r>
              <w:rPr>
                <w:rFonts w:hint="eastAsia"/>
              </w:rPr>
              <w:t>资金拨付准确率</w:t>
            </w:r>
          </w:p>
        </w:tc>
        <w:tc>
          <w:tcPr>
            <w:tcW w:w="3628" w:type="dxa"/>
            <w:gridSpan w:val="3"/>
            <w:tcBorders>
              <w:top w:val="single" w:color="000000" w:sz="2" w:space="0"/>
              <w:bottom w:val="single" w:color="000000" w:sz="2" w:space="0"/>
            </w:tcBorders>
          </w:tc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vMerge w:val="continue"/>
            <w:tcBorders>
              <w:top w:val="nil"/>
              <w:bottom w:val="nil"/>
            </w:tcBorders>
          </w:tcPr>
          <w:p/>
        </w:tc>
        <w:tc>
          <w:tcPr>
            <w:tcW w:w="1538" w:type="dxa"/>
            <w:tcBorders>
              <w:top w:val="single" w:color="000000" w:sz="2" w:space="0"/>
              <w:bottom w:val="single" w:color="000000" w:sz="2" w:space="0"/>
            </w:tcBorders>
          </w:tcPr>
          <w:p>
            <w:pPr>
              <w:spacing w:before="159" w:line="220" w:lineRule="auto"/>
              <w:ind w:firstLine="481"/>
              <w:rPr>
                <w:rFonts w:ascii="宋体" w:hAnsi="宋体"/>
              </w:rPr>
            </w:pPr>
            <w:r>
              <w:rPr>
                <w:rFonts w:hint="eastAsia" w:ascii="宋体" w:hAnsi="宋体" w:cs="宋体"/>
                <w:spacing w:val="2"/>
              </w:rPr>
              <w:t>时效指标</w:t>
            </w:r>
          </w:p>
        </w:tc>
        <w:tc>
          <w:tcPr>
            <w:tcW w:w="2268" w:type="dxa"/>
            <w:tcBorders>
              <w:top w:val="single" w:color="000000" w:sz="2" w:space="0"/>
              <w:bottom w:val="single" w:color="000000" w:sz="2" w:space="0"/>
            </w:tcBorders>
          </w:tcPr>
          <w:p/>
          <w:p>
            <w:pPr>
              <w:jc w:val="center"/>
            </w:pPr>
            <w:r>
              <w:rPr>
                <w:rFonts w:hint="eastAsia"/>
              </w:rPr>
              <w:t>工作均按计划完成</w:t>
            </w:r>
          </w:p>
        </w:tc>
        <w:tc>
          <w:tcPr>
            <w:tcW w:w="3628" w:type="dxa"/>
            <w:gridSpan w:val="3"/>
            <w:tcBorders>
              <w:top w:val="single" w:color="000000" w:sz="2" w:space="0"/>
              <w:bottom w:val="single" w:color="000000" w:sz="2" w:space="0"/>
            </w:tcBorders>
          </w:tc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tcBorders>
              <w:top w:val="nil"/>
            </w:tcBorders>
          </w:tcPr>
          <w:p/>
        </w:tc>
        <w:tc>
          <w:tcPr>
            <w:tcW w:w="1538" w:type="dxa"/>
            <w:tcBorders>
              <w:top w:val="single" w:color="000000" w:sz="2" w:space="0"/>
              <w:bottom w:val="single" w:color="000000" w:sz="2" w:space="0"/>
            </w:tcBorders>
          </w:tcPr>
          <w:p>
            <w:pPr>
              <w:spacing w:before="168" w:line="219" w:lineRule="auto"/>
              <w:ind w:firstLine="481"/>
              <w:rPr>
                <w:rFonts w:ascii="宋体" w:hAnsi="宋体"/>
              </w:rPr>
            </w:pPr>
            <w:r>
              <w:rPr>
                <w:rFonts w:hint="eastAsia" w:ascii="宋体" w:hAnsi="宋体" w:cs="宋体"/>
                <w:spacing w:val="-2"/>
              </w:rPr>
              <w:t>成本指标</w:t>
            </w:r>
          </w:p>
        </w:tc>
        <w:tc>
          <w:tcPr>
            <w:tcW w:w="2268" w:type="dxa"/>
            <w:tcBorders>
              <w:top w:val="single" w:color="000000" w:sz="2" w:space="0"/>
              <w:bottom w:val="single" w:color="000000" w:sz="2" w:space="0"/>
            </w:tcBorders>
          </w:tcPr>
          <w:p/>
        </w:tc>
        <w:tc>
          <w:tcPr>
            <w:tcW w:w="3628"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vMerge w:val="restart"/>
            <w:tcBorders>
              <w:top w:val="single" w:color="000000" w:sz="2" w:space="0"/>
              <w:bottom w:val="nil"/>
            </w:tcBorders>
          </w:tcPr>
          <w:p>
            <w:pPr>
              <w:spacing w:line="313" w:lineRule="auto"/>
            </w:pPr>
          </w:p>
          <w:p>
            <w:pPr>
              <w:spacing w:line="314" w:lineRule="auto"/>
            </w:pPr>
          </w:p>
          <w:p>
            <w:pPr>
              <w:spacing w:before="68" w:line="220" w:lineRule="auto"/>
              <w:ind w:firstLine="404"/>
              <w:rPr>
                <w:rFonts w:ascii="宋体" w:hAnsi="宋体"/>
              </w:rPr>
            </w:pPr>
            <w:r>
              <w:rPr>
                <w:rFonts w:hint="eastAsia" w:ascii="宋体" w:hAnsi="宋体" w:cs="宋体"/>
                <w:spacing w:val="2"/>
              </w:rPr>
              <w:t>效益指标</w:t>
            </w:r>
          </w:p>
        </w:tc>
        <w:tc>
          <w:tcPr>
            <w:tcW w:w="1538" w:type="dxa"/>
            <w:tcBorders>
              <w:top w:val="single" w:color="000000" w:sz="2" w:space="0"/>
              <w:bottom w:val="single" w:color="000000" w:sz="2" w:space="0"/>
            </w:tcBorders>
          </w:tcPr>
          <w:p>
            <w:pPr>
              <w:spacing w:before="159" w:line="220" w:lineRule="auto"/>
              <w:ind w:firstLine="272"/>
              <w:rPr>
                <w:rFonts w:ascii="宋体" w:hAnsi="宋体"/>
              </w:rPr>
            </w:pPr>
            <w:r>
              <w:rPr>
                <w:rFonts w:hint="eastAsia" w:ascii="宋体" w:hAnsi="宋体" w:cs="宋体"/>
                <w:spacing w:val="-2"/>
              </w:rPr>
              <w:t>经济效益指标</w:t>
            </w:r>
          </w:p>
        </w:tc>
        <w:tc>
          <w:tcPr>
            <w:tcW w:w="2268" w:type="dxa"/>
            <w:tcBorders>
              <w:top w:val="single" w:color="000000" w:sz="2" w:space="0"/>
              <w:bottom w:val="single" w:color="000000" w:sz="2" w:space="0"/>
            </w:tcBorders>
          </w:tcPr>
          <w:p/>
        </w:tc>
        <w:tc>
          <w:tcPr>
            <w:tcW w:w="3628"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vMerge w:val="continue"/>
            <w:tcBorders>
              <w:top w:val="nil"/>
              <w:bottom w:val="nil"/>
            </w:tcBorders>
          </w:tcPr>
          <w:p/>
        </w:tc>
        <w:tc>
          <w:tcPr>
            <w:tcW w:w="1538" w:type="dxa"/>
            <w:tcBorders>
              <w:top w:val="single" w:color="000000" w:sz="2" w:space="0"/>
              <w:bottom w:val="single" w:color="000000" w:sz="2" w:space="0"/>
            </w:tcBorders>
          </w:tcPr>
          <w:p>
            <w:pPr>
              <w:spacing w:before="160" w:line="220" w:lineRule="auto"/>
              <w:ind w:firstLine="272"/>
              <w:rPr>
                <w:rFonts w:ascii="宋体" w:hAnsi="宋体"/>
              </w:rPr>
            </w:pPr>
            <w:r>
              <w:rPr>
                <w:rFonts w:hint="eastAsia" w:ascii="宋体" w:hAnsi="宋体" w:cs="宋体"/>
                <w:spacing w:val="-2"/>
              </w:rPr>
              <w:t>生态效益指标</w:t>
            </w:r>
          </w:p>
        </w:tc>
        <w:tc>
          <w:tcPr>
            <w:tcW w:w="2268" w:type="dxa"/>
            <w:tcBorders>
              <w:top w:val="single" w:color="000000" w:sz="2" w:space="0"/>
              <w:bottom w:val="single" w:color="000000" w:sz="2" w:space="0"/>
            </w:tcBorders>
          </w:tcPr>
          <w:p/>
        </w:tc>
        <w:tc>
          <w:tcPr>
            <w:tcW w:w="3628"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vMerge w:val="continue"/>
            <w:tcBorders>
              <w:top w:val="nil"/>
              <w:bottom w:val="single" w:color="000000" w:sz="2" w:space="0"/>
            </w:tcBorders>
          </w:tcPr>
          <w:p/>
        </w:tc>
        <w:tc>
          <w:tcPr>
            <w:tcW w:w="1538" w:type="dxa"/>
            <w:tcBorders>
              <w:top w:val="single" w:color="000000" w:sz="2" w:space="0"/>
              <w:bottom w:val="single" w:color="000000" w:sz="2" w:space="0"/>
            </w:tcBorders>
          </w:tcPr>
          <w:p>
            <w:pPr>
              <w:spacing w:before="160" w:line="219" w:lineRule="auto"/>
              <w:ind w:firstLine="171"/>
              <w:rPr>
                <w:rFonts w:ascii="宋体" w:hAnsi="宋体"/>
              </w:rPr>
            </w:pPr>
            <w:r>
              <w:rPr>
                <w:rFonts w:hint="eastAsia" w:ascii="宋体" w:hAnsi="宋体" w:cs="宋体"/>
                <w:spacing w:val="-2"/>
              </w:rPr>
              <w:t>可持续影响指标</w:t>
            </w:r>
          </w:p>
        </w:tc>
        <w:tc>
          <w:tcPr>
            <w:tcW w:w="2268" w:type="dxa"/>
            <w:tcBorders>
              <w:top w:val="single" w:color="000000" w:sz="2" w:space="0"/>
              <w:bottom w:val="single" w:color="000000" w:sz="2" w:space="0"/>
            </w:tcBorders>
          </w:tcPr>
          <w:p/>
          <w:p>
            <w:pPr>
              <w:jc w:val="center"/>
            </w:pPr>
            <w:r>
              <w:rPr>
                <w:rFonts w:hint="eastAsia"/>
              </w:rPr>
              <w:t>加强对财政资金监管</w:t>
            </w:r>
          </w:p>
        </w:tc>
        <w:tc>
          <w:tcPr>
            <w:tcW w:w="3628" w:type="dxa"/>
            <w:gridSpan w:val="3"/>
            <w:tcBorders>
              <w:top w:val="single" w:color="000000" w:sz="2" w:space="0"/>
              <w:bottom w:val="single" w:color="000000" w:sz="2" w:space="0"/>
            </w:tcBorders>
          </w:tcPr>
          <w:p/>
          <w:p>
            <w:pPr>
              <w:jc w:val="center"/>
            </w:pPr>
            <w:r>
              <w:rPr>
                <w:rFonts w:hint="eastAsia"/>
              </w:rPr>
              <w:t>充分发挥财政资金效益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905" w:type="dxa"/>
            <w:gridSpan w:val="2"/>
            <w:tcBorders>
              <w:top w:val="single" w:color="000000" w:sz="2" w:space="0"/>
              <w:bottom w:val="single" w:color="000000" w:sz="2" w:space="0"/>
            </w:tcBorders>
          </w:tcPr>
          <w:p>
            <w:pPr>
              <w:spacing w:before="150" w:line="219" w:lineRule="auto"/>
              <w:ind w:firstLine="294"/>
              <w:rPr>
                <w:rFonts w:ascii="宋体" w:hAnsi="宋体"/>
              </w:rPr>
            </w:pPr>
            <w:r>
              <w:rPr>
                <w:rFonts w:hint="eastAsia" w:ascii="宋体" w:hAnsi="宋体" w:cs="宋体"/>
                <w:spacing w:val="-2"/>
              </w:rPr>
              <w:t>满意度指标</w:t>
            </w:r>
          </w:p>
        </w:tc>
        <w:tc>
          <w:tcPr>
            <w:tcW w:w="1538" w:type="dxa"/>
            <w:tcBorders>
              <w:top w:val="single" w:color="000000" w:sz="2" w:space="0"/>
              <w:bottom w:val="single" w:color="000000" w:sz="2" w:space="0"/>
            </w:tcBorders>
          </w:tcPr>
          <w:p>
            <w:pPr>
              <w:spacing w:before="150" w:line="219" w:lineRule="auto"/>
              <w:ind w:firstLine="382"/>
              <w:rPr>
                <w:rFonts w:ascii="宋体" w:hAnsi="宋体"/>
              </w:rPr>
            </w:pPr>
            <w:r>
              <w:rPr>
                <w:rFonts w:hint="eastAsia" w:ascii="宋体" w:hAnsi="宋体" w:cs="宋体"/>
                <w:spacing w:val="-2"/>
              </w:rPr>
              <w:t>满意度指标</w:t>
            </w:r>
          </w:p>
        </w:tc>
        <w:tc>
          <w:tcPr>
            <w:tcW w:w="2268" w:type="dxa"/>
            <w:tcBorders>
              <w:top w:val="single" w:color="000000" w:sz="2" w:space="0"/>
              <w:bottom w:val="single" w:color="000000" w:sz="2" w:space="0"/>
            </w:tcBorders>
          </w:tcPr>
          <w:p/>
          <w:p>
            <w:pPr>
              <w:jc w:val="center"/>
            </w:pPr>
            <w:r>
              <w:rPr>
                <w:rFonts w:hint="eastAsia"/>
              </w:rPr>
              <w:t>服务对象满意度</w:t>
            </w:r>
          </w:p>
        </w:tc>
        <w:tc>
          <w:tcPr>
            <w:tcW w:w="3628" w:type="dxa"/>
            <w:gridSpan w:val="3"/>
            <w:tcBorders>
              <w:top w:val="single" w:color="000000" w:sz="2" w:space="0"/>
              <w:bottom w:val="single" w:color="000000" w:sz="2" w:space="0"/>
            </w:tcBorders>
          </w:tcPr>
          <w:p/>
          <w:p>
            <w:pPr>
              <w:jc w:val="center"/>
            </w:pPr>
            <w:r>
              <w:rPr>
                <w:rFonts w:hint="eastAsia"/>
              </w:rPr>
              <w:t>100%</w:t>
            </w:r>
          </w:p>
        </w:tc>
      </w:tr>
    </w:tbl>
    <w:p>
      <w:pPr>
        <w:spacing w:line="136" w:lineRule="exact"/>
      </w:pPr>
    </w:p>
    <w:p>
      <w:pPr>
        <w:tabs>
          <w:tab w:val="left" w:pos="5191"/>
        </w:tabs>
        <w:bidi w:val="0"/>
        <w:jc w:val="left"/>
        <w:rPr>
          <w:rFonts w:hint="eastAsia" w:eastAsia="宋体"/>
          <w:lang w:val="en-US" w:eastAsia="zh-CN"/>
        </w:rPr>
      </w:pPr>
    </w:p>
    <w:p>
      <w:pPr>
        <w:bidi w:val="0"/>
        <w:rPr>
          <w:rFonts w:hint="eastAsia" w:ascii="Arial" w:hAnsi="Arial" w:eastAsia="Arial" w:cs="Arial"/>
          <w:snapToGrid w:val="0"/>
          <w:color w:val="000000"/>
          <w:kern w:val="0"/>
          <w:sz w:val="21"/>
          <w:szCs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before="103" w:line="206" w:lineRule="auto"/>
        <w:ind w:firstLine="1365" w:firstLineChars="650"/>
        <w:rPr>
          <w:rFonts w:hint="eastAsia"/>
          <w:lang w:val="en-US" w:eastAsia="zh-CN"/>
        </w:rPr>
      </w:pPr>
      <w:r>
        <w:rPr>
          <w:rFonts w:hint="eastAsia"/>
          <w:lang w:val="en-US" w:eastAsia="zh-CN"/>
        </w:rPr>
        <w:tab/>
      </w:r>
      <w:r>
        <w:rPr>
          <w:rFonts w:hint="eastAsia"/>
          <w:lang w:val="en-US" w:eastAsia="zh-CN"/>
        </w:rPr>
        <w:t xml:space="preserve">                                                            </w:t>
      </w: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r>
        <w:rPr>
          <w:rFonts w:hint="eastAsia"/>
          <w:lang w:val="en-US" w:eastAsia="zh-CN"/>
        </w:rPr>
        <w:t xml:space="preserve">    </w:t>
      </w: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1365" w:firstLineChars="650"/>
        <w:rPr>
          <w:rFonts w:hint="eastAsia"/>
          <w:lang w:val="en-US" w:eastAsia="zh-CN"/>
        </w:rPr>
      </w:pPr>
    </w:p>
    <w:p>
      <w:pPr>
        <w:spacing w:before="103" w:line="206" w:lineRule="auto"/>
        <w:ind w:firstLine="5355" w:firstLineChars="2550"/>
        <w:rPr>
          <w:rFonts w:ascii="宋体" w:hAnsi="宋体"/>
          <w:spacing w:val="4"/>
          <w:sz w:val="44"/>
          <w:szCs w:val="44"/>
        </w:rPr>
      </w:pPr>
      <w:r>
        <w:rPr>
          <w:rFonts w:hint="eastAsia"/>
          <w:lang w:val="en-US" w:eastAsia="zh-CN"/>
        </w:rPr>
        <w:t xml:space="preserve"> </w:t>
      </w:r>
      <w:r>
        <w:rPr>
          <w:rFonts w:hint="eastAsia" w:ascii="宋体" w:hAnsi="宋体" w:cs="宋体"/>
          <w:spacing w:val="4"/>
          <w:sz w:val="44"/>
          <w:szCs w:val="44"/>
        </w:rPr>
        <w:t>项目支出绩效目标表</w:t>
      </w:r>
    </w:p>
    <w:tbl>
      <w:tblPr>
        <w:tblStyle w:val="4"/>
        <w:tblpPr w:leftFromText="180" w:rightFromText="180" w:vertAnchor="text" w:horzAnchor="page" w:tblpX="3991" w:tblpY="718"/>
        <w:tblOverlap w:val="never"/>
        <w:tblW w:w="98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9"/>
        <w:gridCol w:w="1990"/>
        <w:gridCol w:w="2316"/>
        <w:gridCol w:w="1743"/>
        <w:gridCol w:w="2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59" w:type="dxa"/>
            <w:gridSpan w:val="2"/>
            <w:tcBorders>
              <w:top w:val="single" w:color="000000" w:sz="2" w:space="0"/>
              <w:bottom w:val="single" w:color="000000" w:sz="2" w:space="0"/>
            </w:tcBorders>
          </w:tcPr>
          <w:p>
            <w:pPr>
              <w:spacing w:before="110" w:line="220" w:lineRule="auto"/>
              <w:ind w:firstLine="1194"/>
              <w:rPr>
                <w:rFonts w:ascii="宋体" w:hAnsi="宋体"/>
                <w:sz w:val="24"/>
                <w:szCs w:val="24"/>
              </w:rPr>
            </w:pPr>
            <w:r>
              <w:rPr>
                <w:rFonts w:hint="eastAsia" w:ascii="宋体" w:hAnsi="宋体" w:cs="宋体"/>
                <w:spacing w:val="3"/>
                <w:sz w:val="24"/>
                <w:szCs w:val="24"/>
              </w:rPr>
              <w:t>项目名称</w:t>
            </w:r>
          </w:p>
        </w:tc>
        <w:tc>
          <w:tcPr>
            <w:tcW w:w="6380" w:type="dxa"/>
            <w:gridSpan w:val="3"/>
            <w:tcBorders>
              <w:top w:val="single" w:color="000000" w:sz="2" w:space="0"/>
              <w:bottom w:val="single" w:color="000000" w:sz="2" w:space="0"/>
            </w:tcBorders>
            <w:vAlign w:val="center"/>
          </w:tcPr>
          <w:p>
            <w:pPr>
              <w:jc w:val="both"/>
            </w:pPr>
          </w:p>
          <w:p>
            <w:pPr>
              <w:ind w:firstLine="233"/>
              <w:jc w:val="both"/>
              <w:rPr>
                <w:rFonts w:hint="default" w:eastAsia="宋体"/>
                <w:lang w:val="en-US" w:eastAsia="zh-CN"/>
              </w:rPr>
            </w:pPr>
            <w:r>
              <w:rPr>
                <w:rFonts w:hint="eastAsia" w:eastAsia="宋体"/>
                <w:lang w:val="en-US" w:eastAsia="zh-CN"/>
              </w:rPr>
              <w:t>局机关运行经费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59" w:type="dxa"/>
            <w:gridSpan w:val="2"/>
            <w:tcBorders>
              <w:top w:val="single" w:color="000000" w:sz="2" w:space="0"/>
              <w:bottom w:val="single" w:color="000000" w:sz="2" w:space="0"/>
            </w:tcBorders>
          </w:tcPr>
          <w:p>
            <w:pPr>
              <w:spacing w:before="105" w:line="219" w:lineRule="auto"/>
              <w:ind w:firstLine="835"/>
              <w:rPr>
                <w:rFonts w:ascii="宋体" w:hAnsi="宋体"/>
                <w:sz w:val="24"/>
                <w:szCs w:val="24"/>
              </w:rPr>
            </w:pPr>
            <w:r>
              <w:rPr>
                <w:rFonts w:hint="eastAsia" w:ascii="宋体" w:hAnsi="宋体" w:cs="宋体"/>
                <w:spacing w:val="1"/>
                <w:sz w:val="24"/>
                <w:szCs w:val="24"/>
              </w:rPr>
              <w:t>主管部门及代码</w:t>
            </w:r>
          </w:p>
        </w:tc>
        <w:tc>
          <w:tcPr>
            <w:tcW w:w="2316" w:type="dxa"/>
            <w:tcBorders>
              <w:top w:val="single" w:color="000000" w:sz="2" w:space="0"/>
              <w:bottom w:val="single" w:color="000000" w:sz="2" w:space="0"/>
            </w:tcBorders>
            <w:vAlign w:val="center"/>
          </w:tcPr>
          <w:p>
            <w:pPr>
              <w:jc w:val="both"/>
            </w:pPr>
            <w:r>
              <w:rPr>
                <w:rFonts w:hint="eastAsia"/>
              </w:rPr>
              <w:t>新建区财政局206001</w:t>
            </w:r>
          </w:p>
        </w:tc>
        <w:tc>
          <w:tcPr>
            <w:tcW w:w="1743" w:type="dxa"/>
            <w:tcBorders>
              <w:top w:val="single" w:color="000000" w:sz="2" w:space="0"/>
              <w:bottom w:val="single" w:color="000000" w:sz="2" w:space="0"/>
            </w:tcBorders>
            <w:vAlign w:val="center"/>
          </w:tcPr>
          <w:p>
            <w:pPr>
              <w:spacing w:before="105" w:line="220" w:lineRule="auto"/>
              <w:ind w:firstLine="365"/>
              <w:jc w:val="both"/>
              <w:rPr>
                <w:rFonts w:ascii="宋体" w:hAnsi="宋体"/>
                <w:sz w:val="24"/>
                <w:szCs w:val="24"/>
              </w:rPr>
            </w:pPr>
            <w:r>
              <w:rPr>
                <w:rFonts w:hint="eastAsia" w:ascii="宋体" w:hAnsi="宋体" w:cs="宋体"/>
                <w:spacing w:val="2"/>
                <w:sz w:val="24"/>
                <w:szCs w:val="24"/>
              </w:rPr>
              <w:t>实施单位</w:t>
            </w:r>
          </w:p>
        </w:tc>
        <w:tc>
          <w:tcPr>
            <w:tcW w:w="2321" w:type="dxa"/>
            <w:tcBorders>
              <w:top w:val="single" w:color="000000" w:sz="2" w:space="0"/>
              <w:bottom w:val="single" w:color="000000" w:sz="2" w:space="0"/>
            </w:tcBorders>
            <w:vAlign w:val="center"/>
          </w:tcPr>
          <w:p>
            <w:pPr>
              <w:jc w:val="both"/>
            </w:pPr>
            <w:r>
              <w:rPr>
                <w:rFonts w:hint="eastAsia"/>
              </w:rPr>
              <w:t>新建区财政局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59" w:type="dxa"/>
            <w:gridSpan w:val="2"/>
            <w:vMerge w:val="restart"/>
            <w:tcBorders>
              <w:top w:val="single" w:color="000000" w:sz="2" w:space="0"/>
              <w:bottom w:val="nil"/>
            </w:tcBorders>
          </w:tcPr>
          <w:p>
            <w:pPr>
              <w:spacing w:line="246" w:lineRule="auto"/>
            </w:pPr>
          </w:p>
          <w:p>
            <w:pPr>
              <w:spacing w:before="78" w:line="220" w:lineRule="auto"/>
              <w:ind w:firstLine="1194"/>
              <w:rPr>
                <w:rFonts w:ascii="宋体" w:hAnsi="宋体"/>
                <w:sz w:val="24"/>
                <w:szCs w:val="24"/>
              </w:rPr>
            </w:pPr>
            <w:r>
              <w:rPr>
                <w:rFonts w:hint="eastAsia" w:ascii="宋体" w:hAnsi="宋体" w:cs="宋体"/>
                <w:spacing w:val="2"/>
                <w:sz w:val="24"/>
                <w:szCs w:val="24"/>
              </w:rPr>
              <w:t>项目属性</w:t>
            </w:r>
          </w:p>
        </w:tc>
        <w:tc>
          <w:tcPr>
            <w:tcW w:w="2316" w:type="dxa"/>
            <w:vMerge w:val="restart"/>
            <w:tcBorders>
              <w:top w:val="single" w:color="000000" w:sz="2" w:space="0"/>
              <w:bottom w:val="nil"/>
            </w:tcBorders>
          </w:tcPr>
          <w:p/>
          <w:p>
            <w:pPr>
              <w:jc w:val="center"/>
            </w:pPr>
            <w:r>
              <w:rPr>
                <w:rFonts w:hint="eastAsia"/>
              </w:rPr>
              <w:t>当年项目</w:t>
            </w:r>
          </w:p>
        </w:tc>
        <w:tc>
          <w:tcPr>
            <w:tcW w:w="1743" w:type="dxa"/>
            <w:vMerge w:val="restart"/>
            <w:tcBorders>
              <w:top w:val="single" w:color="000000" w:sz="2" w:space="0"/>
              <w:bottom w:val="nil"/>
            </w:tcBorders>
          </w:tcPr>
          <w:p>
            <w:pPr>
              <w:spacing w:line="246" w:lineRule="auto"/>
            </w:pPr>
          </w:p>
          <w:p>
            <w:pPr>
              <w:spacing w:before="78" w:line="220" w:lineRule="auto"/>
              <w:ind w:firstLine="125"/>
              <w:rPr>
                <w:rFonts w:ascii="宋体" w:hAnsi="宋体"/>
                <w:sz w:val="24"/>
                <w:szCs w:val="24"/>
              </w:rPr>
            </w:pPr>
            <w:r>
              <w:rPr>
                <w:rFonts w:hint="eastAsia" w:ascii="宋体" w:hAnsi="宋体" w:cs="宋体"/>
                <w:spacing w:val="3"/>
                <w:sz w:val="24"/>
                <w:szCs w:val="24"/>
              </w:rPr>
              <w:t>项目日期范围</w:t>
            </w:r>
          </w:p>
        </w:tc>
        <w:tc>
          <w:tcPr>
            <w:tcW w:w="2321" w:type="dxa"/>
            <w:tcBorders>
              <w:top w:val="single" w:color="000000" w:sz="2" w:space="0"/>
              <w:bottom w:val="single" w:color="000000" w:sz="2" w:space="0"/>
            </w:tcBorders>
          </w:tcPr>
          <w:p/>
          <w:p>
            <w:pPr>
              <w:jc w:val="center"/>
            </w:pPr>
            <w:r>
              <w:rPr>
                <w:rFonts w:hint="eastAsia"/>
              </w:rPr>
              <w:t>202</w:t>
            </w:r>
            <w:r>
              <w:rPr>
                <w:rFonts w:hint="eastAsia"/>
                <w:lang w:val="en-US" w:eastAsia="zh-CN"/>
              </w:rPr>
              <w:t>4</w:t>
            </w:r>
            <w:r>
              <w:rPr>
                <w:rFonts w:hint="eastAsia"/>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59" w:type="dxa"/>
            <w:gridSpan w:val="2"/>
            <w:vMerge w:val="continue"/>
            <w:tcBorders>
              <w:top w:val="nil"/>
              <w:bottom w:val="single" w:color="000000" w:sz="2" w:space="0"/>
            </w:tcBorders>
          </w:tcPr>
          <w:p/>
        </w:tc>
        <w:tc>
          <w:tcPr>
            <w:tcW w:w="2316" w:type="dxa"/>
            <w:vMerge w:val="continue"/>
            <w:tcBorders>
              <w:top w:val="nil"/>
              <w:bottom w:val="single" w:color="000000" w:sz="2" w:space="0"/>
            </w:tcBorders>
          </w:tcPr>
          <w:p/>
        </w:tc>
        <w:tc>
          <w:tcPr>
            <w:tcW w:w="1743" w:type="dxa"/>
            <w:vMerge w:val="continue"/>
            <w:tcBorders>
              <w:top w:val="nil"/>
              <w:bottom w:val="single" w:color="000000" w:sz="2" w:space="0"/>
            </w:tcBorders>
          </w:tcPr>
          <w:p/>
        </w:tc>
        <w:tc>
          <w:tcPr>
            <w:tcW w:w="2321" w:type="dxa"/>
            <w:tcBorders>
              <w:top w:val="single" w:color="000000" w:sz="2" w:space="0"/>
              <w:bottom w:val="single" w:color="000000" w:sz="2" w:space="0"/>
            </w:tcBorders>
          </w:tcPr>
          <w:p/>
          <w:p>
            <w:pPr>
              <w:jc w:val="center"/>
            </w:pPr>
            <w:r>
              <w:rPr>
                <w:rFonts w:hint="eastAsia"/>
              </w:rPr>
              <w:t>202</w:t>
            </w:r>
            <w:r>
              <w:rPr>
                <w:rFonts w:hint="eastAsia"/>
                <w:lang w:val="en-US" w:eastAsia="zh-CN"/>
              </w:rPr>
              <w:t>4</w:t>
            </w:r>
            <w:r>
              <w:rPr>
                <w:rFonts w:hint="eastAsia"/>
              </w:rPr>
              <w:t>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59" w:type="dxa"/>
            <w:gridSpan w:val="2"/>
            <w:vMerge w:val="restart"/>
            <w:tcBorders>
              <w:top w:val="single" w:color="000000" w:sz="2" w:space="0"/>
              <w:bottom w:val="nil"/>
            </w:tcBorders>
          </w:tcPr>
          <w:p>
            <w:pPr>
              <w:spacing w:line="262" w:lineRule="auto"/>
            </w:pPr>
          </w:p>
          <w:p>
            <w:pPr>
              <w:spacing w:line="262" w:lineRule="auto"/>
            </w:pPr>
          </w:p>
          <w:p>
            <w:pPr>
              <w:spacing w:before="78" w:line="223" w:lineRule="auto"/>
              <w:ind w:firstLine="1194"/>
              <w:rPr>
                <w:rFonts w:ascii="宋体" w:hAnsi="宋体"/>
                <w:sz w:val="24"/>
                <w:szCs w:val="24"/>
              </w:rPr>
            </w:pPr>
            <w:r>
              <w:rPr>
                <w:rFonts w:hint="eastAsia" w:ascii="宋体" w:hAnsi="宋体" w:cs="宋体"/>
                <w:spacing w:val="2"/>
                <w:sz w:val="24"/>
                <w:szCs w:val="24"/>
              </w:rPr>
              <w:t>项目资金</w:t>
            </w:r>
          </w:p>
          <w:p>
            <w:pPr>
              <w:spacing w:line="220" w:lineRule="auto"/>
              <w:ind w:firstLine="1314"/>
              <w:rPr>
                <w:rFonts w:ascii="宋体" w:hAnsi="宋体"/>
                <w:sz w:val="24"/>
                <w:szCs w:val="24"/>
              </w:rPr>
            </w:pPr>
            <w:r>
              <w:rPr>
                <w:rFonts w:ascii="宋体" w:hAnsi="宋体" w:cs="宋体"/>
                <w:spacing w:val="3"/>
                <w:sz w:val="24"/>
                <w:szCs w:val="24"/>
              </w:rPr>
              <w:t>(</w:t>
            </w:r>
            <w:r>
              <w:rPr>
                <w:rFonts w:hint="eastAsia" w:ascii="宋体" w:hAnsi="宋体" w:cs="宋体"/>
                <w:spacing w:val="3"/>
                <w:sz w:val="24"/>
                <w:szCs w:val="24"/>
              </w:rPr>
              <w:t>万元</w:t>
            </w:r>
            <w:r>
              <w:rPr>
                <w:rFonts w:ascii="宋体" w:hAnsi="宋体" w:cs="宋体"/>
                <w:spacing w:val="3"/>
                <w:sz w:val="24"/>
                <w:szCs w:val="24"/>
              </w:rPr>
              <w:t>)</w:t>
            </w:r>
          </w:p>
        </w:tc>
        <w:tc>
          <w:tcPr>
            <w:tcW w:w="2316" w:type="dxa"/>
            <w:tcBorders>
              <w:top w:val="single" w:color="000000" w:sz="2" w:space="0"/>
              <w:bottom w:val="single" w:color="000000" w:sz="2" w:space="0"/>
            </w:tcBorders>
          </w:tcPr>
          <w:p>
            <w:pPr>
              <w:spacing w:before="166" w:line="219" w:lineRule="auto"/>
              <w:ind w:firstLine="404"/>
              <w:rPr>
                <w:rFonts w:ascii="宋体" w:hAnsi="宋体"/>
                <w:sz w:val="24"/>
                <w:szCs w:val="24"/>
              </w:rPr>
            </w:pPr>
            <w:r>
              <w:rPr>
                <w:rFonts w:hint="eastAsia" w:ascii="宋体" w:hAnsi="宋体" w:cs="宋体"/>
                <w:spacing w:val="-2"/>
                <w:sz w:val="24"/>
                <w:szCs w:val="24"/>
              </w:rPr>
              <w:t>年度资金总额</w:t>
            </w:r>
          </w:p>
        </w:tc>
        <w:tc>
          <w:tcPr>
            <w:tcW w:w="4064" w:type="dxa"/>
            <w:gridSpan w:val="2"/>
            <w:tcBorders>
              <w:top w:val="single" w:color="000000" w:sz="2" w:space="0"/>
              <w:bottom w:val="single" w:color="000000" w:sz="2" w:space="0"/>
            </w:tcBorders>
          </w:tcPr>
          <w:p>
            <w:pPr>
              <w:jc w:val="center"/>
            </w:pPr>
          </w:p>
          <w:p>
            <w:pPr>
              <w:tabs>
                <w:tab w:val="left" w:pos="1185"/>
              </w:tabs>
              <w:jc w:val="center"/>
            </w:pPr>
            <w:r>
              <w:rPr>
                <w:rFonts w:hint="eastAsia"/>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59" w:type="dxa"/>
            <w:gridSpan w:val="2"/>
            <w:vMerge w:val="continue"/>
            <w:tcBorders>
              <w:top w:val="nil"/>
              <w:bottom w:val="nil"/>
            </w:tcBorders>
          </w:tcPr>
          <w:p/>
        </w:tc>
        <w:tc>
          <w:tcPr>
            <w:tcW w:w="2316" w:type="dxa"/>
            <w:tcBorders>
              <w:top w:val="single" w:color="000000" w:sz="2" w:space="0"/>
              <w:bottom w:val="single" w:color="000000" w:sz="2" w:space="0"/>
            </w:tcBorders>
          </w:tcPr>
          <w:p>
            <w:pPr>
              <w:spacing w:before="167" w:line="219" w:lineRule="auto"/>
              <w:ind w:firstLine="343"/>
              <w:rPr>
                <w:rFonts w:ascii="宋体" w:hAnsi="宋体"/>
                <w:sz w:val="24"/>
                <w:szCs w:val="24"/>
              </w:rPr>
            </w:pPr>
            <w:r>
              <w:rPr>
                <w:rFonts w:hint="eastAsia" w:ascii="宋体" w:hAnsi="宋体" w:cs="宋体"/>
                <w:spacing w:val="1"/>
                <w:sz w:val="24"/>
                <w:szCs w:val="24"/>
              </w:rPr>
              <w:t>其中</w:t>
            </w:r>
            <w:r>
              <w:rPr>
                <w:rFonts w:ascii="宋体" w:hAnsi="宋体" w:cs="宋体"/>
                <w:spacing w:val="1"/>
                <w:sz w:val="24"/>
                <w:szCs w:val="24"/>
              </w:rPr>
              <w:t>:</w:t>
            </w:r>
            <w:r>
              <w:rPr>
                <w:rFonts w:hint="eastAsia" w:ascii="宋体" w:hAnsi="宋体" w:cs="宋体"/>
                <w:spacing w:val="1"/>
                <w:sz w:val="24"/>
                <w:szCs w:val="24"/>
              </w:rPr>
              <w:t>财政拨款</w:t>
            </w:r>
          </w:p>
        </w:tc>
        <w:tc>
          <w:tcPr>
            <w:tcW w:w="4064" w:type="dxa"/>
            <w:gridSpan w:val="2"/>
            <w:tcBorders>
              <w:top w:val="single" w:color="000000" w:sz="2" w:space="0"/>
              <w:bottom w:val="single" w:color="000000" w:sz="2" w:space="0"/>
            </w:tcBorders>
          </w:tcPr>
          <w:p>
            <w:pPr>
              <w:jc w:val="center"/>
            </w:pPr>
          </w:p>
          <w:p>
            <w:pPr>
              <w:tabs>
                <w:tab w:val="left" w:pos="1335"/>
              </w:tabs>
              <w:jc w:val="center"/>
            </w:pPr>
            <w:r>
              <w:rPr>
                <w:rFonts w:hint="eastAsia"/>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59" w:type="dxa"/>
            <w:gridSpan w:val="2"/>
            <w:vMerge w:val="continue"/>
            <w:tcBorders>
              <w:top w:val="nil"/>
              <w:bottom w:val="single" w:color="000000" w:sz="2" w:space="0"/>
            </w:tcBorders>
          </w:tcPr>
          <w:p/>
        </w:tc>
        <w:tc>
          <w:tcPr>
            <w:tcW w:w="2316" w:type="dxa"/>
            <w:tcBorders>
              <w:top w:val="single" w:color="000000" w:sz="2" w:space="0"/>
              <w:bottom w:val="single" w:color="000000" w:sz="2" w:space="0"/>
            </w:tcBorders>
          </w:tcPr>
          <w:p>
            <w:pPr>
              <w:spacing w:before="167" w:line="220" w:lineRule="auto"/>
              <w:ind w:firstLine="643"/>
              <w:rPr>
                <w:rFonts w:ascii="宋体" w:hAnsi="宋体"/>
                <w:sz w:val="24"/>
                <w:szCs w:val="24"/>
              </w:rPr>
            </w:pPr>
            <w:r>
              <w:rPr>
                <w:rFonts w:hint="eastAsia" w:ascii="宋体" w:hAnsi="宋体" w:cs="宋体"/>
                <w:spacing w:val="2"/>
                <w:sz w:val="24"/>
                <w:szCs w:val="24"/>
              </w:rPr>
              <w:t>其他资金</w:t>
            </w:r>
          </w:p>
        </w:tc>
        <w:tc>
          <w:tcPr>
            <w:tcW w:w="4064"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839" w:type="dxa"/>
            <w:gridSpan w:val="5"/>
            <w:tcBorders>
              <w:top w:val="single" w:color="000000" w:sz="2" w:space="0"/>
              <w:bottom w:val="single" w:color="000000" w:sz="2" w:space="0"/>
            </w:tcBorders>
          </w:tcPr>
          <w:p>
            <w:pPr>
              <w:spacing w:before="167" w:line="219" w:lineRule="auto"/>
              <w:ind w:firstLine="4065"/>
              <w:rPr>
                <w:rFonts w:ascii="宋体" w:hAnsi="宋体"/>
                <w:sz w:val="24"/>
                <w:szCs w:val="24"/>
              </w:rPr>
            </w:pPr>
            <w:r>
              <w:rPr>
                <w:rFonts w:hint="eastAsia" w:ascii="宋体" w:hAnsi="宋体" w:cs="宋体"/>
                <w:spacing w:val="-2"/>
                <w:sz w:val="24"/>
                <w:szCs w:val="24"/>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839" w:type="dxa"/>
            <w:gridSpan w:val="5"/>
            <w:tcBorders>
              <w:top w:val="single" w:color="000000" w:sz="2" w:space="0"/>
              <w:bottom w:val="single" w:color="000000" w:sz="2" w:space="0"/>
            </w:tcBorders>
            <w:vAlign w:val="center"/>
          </w:tcPr>
          <w:p>
            <w:pPr>
              <w:jc w:val="center"/>
            </w:pPr>
          </w:p>
          <w:p>
            <w:pPr>
              <w:tabs>
                <w:tab w:val="left" w:pos="4159"/>
              </w:tabs>
              <w:jc w:val="center"/>
            </w:pPr>
            <w:r>
              <w:rPr>
                <w:rFonts w:hint="eastAsia"/>
              </w:rPr>
              <w:t>保证</w:t>
            </w:r>
            <w:r>
              <w:rPr>
                <w:rFonts w:hint="eastAsia" w:eastAsia="宋体"/>
                <w:lang w:val="en-US" w:eastAsia="zh-CN"/>
              </w:rPr>
              <w:t>局机关</w:t>
            </w:r>
            <w:r>
              <w:rPr>
                <w:rFonts w:hint="eastAsia"/>
              </w:rPr>
              <w:t>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tcBorders>
              <w:top w:val="single" w:color="000000" w:sz="2" w:space="0"/>
              <w:bottom w:val="single" w:color="000000" w:sz="2" w:space="0"/>
            </w:tcBorders>
          </w:tcPr>
          <w:p>
            <w:pPr>
              <w:spacing w:before="178" w:line="220" w:lineRule="auto"/>
              <w:ind w:firstLine="225"/>
              <w:rPr>
                <w:rFonts w:ascii="宋体" w:hAnsi="宋体"/>
                <w:sz w:val="24"/>
                <w:szCs w:val="24"/>
              </w:rPr>
            </w:pPr>
            <w:r>
              <w:rPr>
                <w:rFonts w:hint="eastAsia" w:ascii="宋体" w:hAnsi="宋体" w:cs="宋体"/>
                <w:spacing w:val="2"/>
                <w:sz w:val="24"/>
                <w:szCs w:val="24"/>
              </w:rPr>
              <w:t>一级指标</w:t>
            </w:r>
          </w:p>
        </w:tc>
        <w:tc>
          <w:tcPr>
            <w:tcW w:w="1990" w:type="dxa"/>
            <w:tcBorders>
              <w:top w:val="single" w:color="000000" w:sz="2" w:space="0"/>
              <w:bottom w:val="single" w:color="000000" w:sz="2" w:space="0"/>
            </w:tcBorders>
          </w:tcPr>
          <w:p>
            <w:pPr>
              <w:spacing w:before="178" w:line="220" w:lineRule="auto"/>
              <w:ind w:firstLine="471"/>
              <w:rPr>
                <w:rFonts w:ascii="宋体" w:hAnsi="宋体"/>
                <w:sz w:val="24"/>
                <w:szCs w:val="24"/>
              </w:rPr>
            </w:pPr>
            <w:r>
              <w:rPr>
                <w:rFonts w:hint="eastAsia" w:ascii="宋体" w:hAnsi="宋体" w:cs="宋体"/>
                <w:spacing w:val="2"/>
                <w:sz w:val="24"/>
                <w:szCs w:val="24"/>
              </w:rPr>
              <w:t>二级指标</w:t>
            </w:r>
          </w:p>
        </w:tc>
        <w:tc>
          <w:tcPr>
            <w:tcW w:w="4059" w:type="dxa"/>
            <w:gridSpan w:val="2"/>
            <w:tcBorders>
              <w:top w:val="single" w:color="000000" w:sz="2" w:space="0"/>
              <w:bottom w:val="single" w:color="000000" w:sz="2" w:space="0"/>
            </w:tcBorders>
          </w:tcPr>
          <w:p>
            <w:pPr>
              <w:spacing w:before="178" w:line="220" w:lineRule="auto"/>
              <w:ind w:firstLine="1503"/>
              <w:rPr>
                <w:rFonts w:ascii="宋体" w:hAnsi="宋体"/>
                <w:sz w:val="24"/>
                <w:szCs w:val="24"/>
              </w:rPr>
            </w:pPr>
            <w:r>
              <w:rPr>
                <w:rFonts w:hint="eastAsia" w:ascii="宋体" w:hAnsi="宋体" w:cs="宋体"/>
                <w:spacing w:val="-2"/>
                <w:sz w:val="24"/>
                <w:szCs w:val="24"/>
              </w:rPr>
              <w:t>三级指标</w:t>
            </w:r>
          </w:p>
        </w:tc>
        <w:tc>
          <w:tcPr>
            <w:tcW w:w="2321" w:type="dxa"/>
            <w:tcBorders>
              <w:top w:val="single" w:color="000000" w:sz="2" w:space="0"/>
              <w:bottom w:val="single" w:color="000000" w:sz="2" w:space="0"/>
            </w:tcBorders>
          </w:tcPr>
          <w:p>
            <w:pPr>
              <w:spacing w:before="178" w:line="219" w:lineRule="auto"/>
              <w:ind w:firstLine="765"/>
              <w:rPr>
                <w:rFonts w:ascii="宋体" w:hAnsi="宋体"/>
                <w:sz w:val="24"/>
                <w:szCs w:val="24"/>
              </w:rPr>
            </w:pPr>
            <w:r>
              <w:rPr>
                <w:rFonts w:hint="eastAsia" w:ascii="宋体" w:hAnsi="宋体" w:cs="宋体"/>
                <w:spacing w:val="3"/>
                <w:sz w:val="24"/>
                <w:szCs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469" w:type="dxa"/>
            <w:vMerge w:val="restart"/>
            <w:tcBorders>
              <w:top w:val="single" w:color="000000" w:sz="2" w:space="0"/>
              <w:bottom w:val="nil"/>
            </w:tcBorders>
          </w:tcPr>
          <w:p>
            <w:pPr>
              <w:spacing w:line="278" w:lineRule="auto"/>
            </w:pPr>
          </w:p>
          <w:p>
            <w:pPr>
              <w:spacing w:line="278" w:lineRule="auto"/>
            </w:pPr>
          </w:p>
          <w:p>
            <w:pPr>
              <w:spacing w:line="279" w:lineRule="auto"/>
            </w:pPr>
          </w:p>
          <w:p>
            <w:pPr>
              <w:spacing w:before="78" w:line="219" w:lineRule="auto"/>
              <w:ind w:firstLine="225"/>
              <w:rPr>
                <w:rFonts w:ascii="宋体" w:hAnsi="宋体"/>
                <w:sz w:val="24"/>
                <w:szCs w:val="24"/>
              </w:rPr>
            </w:pPr>
            <w:r>
              <w:rPr>
                <w:rFonts w:hint="eastAsia" w:ascii="宋体" w:hAnsi="宋体" w:cs="宋体"/>
                <w:spacing w:val="-2"/>
                <w:sz w:val="24"/>
                <w:szCs w:val="24"/>
              </w:rPr>
              <w:t>产出指标</w:t>
            </w:r>
          </w:p>
        </w:tc>
        <w:tc>
          <w:tcPr>
            <w:tcW w:w="1990" w:type="dxa"/>
            <w:vMerge w:val="restart"/>
            <w:tcBorders>
              <w:top w:val="single" w:color="000000" w:sz="2" w:space="0"/>
            </w:tcBorders>
            <w:vAlign w:val="center"/>
          </w:tcPr>
          <w:p>
            <w:pPr>
              <w:tabs>
                <w:tab w:val="left" w:pos="529"/>
                <w:tab w:val="center" w:pos="1234"/>
              </w:tabs>
              <w:spacing w:before="138" w:line="219" w:lineRule="auto"/>
              <w:ind w:firstLine="471"/>
              <w:rPr>
                <w:rFonts w:ascii="宋体" w:hAnsi="宋体"/>
                <w:sz w:val="24"/>
                <w:szCs w:val="24"/>
              </w:rPr>
            </w:pPr>
            <w:r>
              <w:rPr>
                <w:rFonts w:hint="eastAsia" w:ascii="宋体" w:hAnsi="宋体" w:cs="宋体"/>
                <w:spacing w:val="2"/>
                <w:sz w:val="24"/>
                <w:szCs w:val="24"/>
              </w:rPr>
              <w:tab/>
            </w:r>
            <w:r>
              <w:rPr>
                <w:rFonts w:hint="eastAsia" w:ascii="宋体" w:hAnsi="宋体" w:cs="宋体"/>
                <w:spacing w:val="2"/>
                <w:sz w:val="24"/>
                <w:szCs w:val="24"/>
              </w:rPr>
              <w:t>数量指标</w:t>
            </w:r>
          </w:p>
        </w:tc>
        <w:tc>
          <w:tcPr>
            <w:tcW w:w="4059" w:type="dxa"/>
            <w:gridSpan w:val="2"/>
            <w:tcBorders>
              <w:top w:val="single" w:color="000000" w:sz="2" w:space="0"/>
              <w:bottom w:val="single" w:color="000000" w:sz="2" w:space="0"/>
            </w:tcBorders>
            <w:vAlign w:val="center"/>
          </w:tcPr>
          <w:p>
            <w:pPr>
              <w:jc w:val="center"/>
            </w:pPr>
            <w:r>
              <w:rPr>
                <w:rFonts w:hint="eastAsia"/>
              </w:rPr>
              <w:t>日常维护平台信息系统数量</w:t>
            </w:r>
          </w:p>
        </w:tc>
        <w:tc>
          <w:tcPr>
            <w:tcW w:w="232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469" w:type="dxa"/>
            <w:vMerge w:val="continue"/>
          </w:tcPr>
          <w:p>
            <w:pPr>
              <w:spacing w:before="78" w:line="219" w:lineRule="auto"/>
              <w:ind w:firstLine="225"/>
              <w:rPr>
                <w:rFonts w:ascii="宋体" w:hAnsi="宋体" w:cs="宋体"/>
                <w:spacing w:val="-2"/>
                <w:sz w:val="24"/>
                <w:szCs w:val="24"/>
              </w:rPr>
            </w:pPr>
          </w:p>
        </w:tc>
        <w:tc>
          <w:tcPr>
            <w:tcW w:w="1990" w:type="dxa"/>
            <w:vMerge w:val="continue"/>
            <w:tcBorders>
              <w:bottom w:val="single" w:color="000000" w:sz="2" w:space="0"/>
            </w:tcBorders>
          </w:tcPr>
          <w:p>
            <w:pPr>
              <w:spacing w:before="138" w:line="219" w:lineRule="auto"/>
              <w:ind w:firstLine="471"/>
              <w:rPr>
                <w:rFonts w:ascii="宋体" w:hAnsi="宋体" w:cs="宋体"/>
                <w:spacing w:val="2"/>
                <w:sz w:val="24"/>
                <w:szCs w:val="24"/>
              </w:rPr>
            </w:pPr>
          </w:p>
        </w:tc>
        <w:tc>
          <w:tcPr>
            <w:tcW w:w="4059" w:type="dxa"/>
            <w:gridSpan w:val="2"/>
            <w:tcBorders>
              <w:top w:val="single" w:color="000000" w:sz="2" w:space="0"/>
              <w:bottom w:val="single" w:color="000000" w:sz="2" w:space="0"/>
            </w:tcBorders>
            <w:vAlign w:val="center"/>
          </w:tcPr>
          <w:p>
            <w:pPr>
              <w:jc w:val="center"/>
            </w:pPr>
            <w:r>
              <w:rPr>
                <w:rFonts w:hint="eastAsia"/>
              </w:rPr>
              <w:t>网络设备运维范围</w:t>
            </w:r>
          </w:p>
        </w:tc>
        <w:tc>
          <w:tcPr>
            <w:tcW w:w="2321"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vMerge w:val="continue"/>
            <w:tcBorders>
              <w:top w:val="nil"/>
              <w:bottom w:val="nil"/>
            </w:tcBorders>
          </w:tcPr>
          <w:p/>
        </w:tc>
        <w:tc>
          <w:tcPr>
            <w:tcW w:w="1990" w:type="dxa"/>
            <w:tcBorders>
              <w:top w:val="single" w:color="000000" w:sz="2" w:space="0"/>
              <w:bottom w:val="single" w:color="000000" w:sz="2" w:space="0"/>
            </w:tcBorders>
          </w:tcPr>
          <w:p>
            <w:pPr>
              <w:spacing w:before="138" w:line="220" w:lineRule="auto"/>
              <w:ind w:firstLine="471"/>
              <w:rPr>
                <w:rFonts w:ascii="宋体" w:hAnsi="宋体"/>
                <w:sz w:val="24"/>
                <w:szCs w:val="24"/>
              </w:rPr>
            </w:pPr>
            <w:r>
              <w:rPr>
                <w:rFonts w:hint="eastAsia" w:ascii="宋体" w:hAnsi="宋体" w:cs="宋体"/>
                <w:spacing w:val="-2"/>
                <w:sz w:val="24"/>
                <w:szCs w:val="24"/>
              </w:rPr>
              <w:t>质量指标</w:t>
            </w:r>
          </w:p>
        </w:tc>
        <w:tc>
          <w:tcPr>
            <w:tcW w:w="4059" w:type="dxa"/>
            <w:gridSpan w:val="2"/>
            <w:tcBorders>
              <w:top w:val="single" w:color="000000" w:sz="2" w:space="0"/>
              <w:bottom w:val="single" w:color="000000" w:sz="2" w:space="0"/>
            </w:tcBorders>
            <w:vAlign w:val="center"/>
          </w:tcPr>
          <w:p>
            <w:pPr>
              <w:jc w:val="center"/>
            </w:pPr>
            <w:r>
              <w:rPr>
                <w:rFonts w:hint="eastAsia"/>
              </w:rPr>
              <w:t>信息系统日常维护合格率</w:t>
            </w:r>
          </w:p>
        </w:tc>
        <w:tc>
          <w:tcPr>
            <w:tcW w:w="232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vMerge w:val="continue"/>
            <w:tcBorders>
              <w:top w:val="nil"/>
              <w:bottom w:val="nil"/>
            </w:tcBorders>
          </w:tcPr>
          <w:p/>
        </w:tc>
        <w:tc>
          <w:tcPr>
            <w:tcW w:w="1990" w:type="dxa"/>
            <w:tcBorders>
              <w:top w:val="single" w:color="000000" w:sz="2" w:space="0"/>
              <w:bottom w:val="single" w:color="000000" w:sz="2" w:space="0"/>
            </w:tcBorders>
          </w:tcPr>
          <w:p>
            <w:pPr>
              <w:spacing w:before="139" w:line="220" w:lineRule="auto"/>
              <w:ind w:firstLine="471"/>
              <w:rPr>
                <w:rFonts w:ascii="宋体" w:hAnsi="宋体"/>
                <w:sz w:val="24"/>
                <w:szCs w:val="24"/>
              </w:rPr>
            </w:pPr>
            <w:r>
              <w:rPr>
                <w:rFonts w:hint="eastAsia" w:ascii="宋体" w:hAnsi="宋体" w:cs="宋体"/>
                <w:spacing w:val="2"/>
                <w:sz w:val="24"/>
                <w:szCs w:val="24"/>
              </w:rPr>
              <w:t>时效指标</w:t>
            </w:r>
          </w:p>
        </w:tc>
        <w:tc>
          <w:tcPr>
            <w:tcW w:w="4059" w:type="dxa"/>
            <w:gridSpan w:val="2"/>
            <w:tcBorders>
              <w:top w:val="single" w:color="000000" w:sz="2" w:space="0"/>
              <w:bottom w:val="single" w:color="000000" w:sz="2" w:space="0"/>
            </w:tcBorders>
            <w:vAlign w:val="center"/>
          </w:tcPr>
          <w:p>
            <w:pPr>
              <w:jc w:val="center"/>
            </w:pPr>
            <w:r>
              <w:rPr>
                <w:rFonts w:hint="eastAsia"/>
              </w:rPr>
              <w:t>维修保障响应</w:t>
            </w:r>
          </w:p>
        </w:tc>
        <w:tc>
          <w:tcPr>
            <w:tcW w:w="232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vMerge w:val="continue"/>
            <w:tcBorders>
              <w:top w:val="nil"/>
              <w:bottom w:val="single" w:color="000000" w:sz="2" w:space="0"/>
            </w:tcBorders>
          </w:tcPr>
          <w:p/>
        </w:tc>
        <w:tc>
          <w:tcPr>
            <w:tcW w:w="1990"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成本指标</w:t>
            </w:r>
          </w:p>
        </w:tc>
        <w:tc>
          <w:tcPr>
            <w:tcW w:w="4059" w:type="dxa"/>
            <w:gridSpan w:val="2"/>
            <w:tcBorders>
              <w:top w:val="single" w:color="000000" w:sz="2" w:space="0"/>
              <w:bottom w:val="single" w:color="000000" w:sz="2" w:space="0"/>
            </w:tcBorders>
            <w:vAlign w:val="center"/>
          </w:tcPr>
          <w:p>
            <w:pPr>
              <w:jc w:val="center"/>
            </w:pPr>
          </w:p>
        </w:tc>
        <w:tc>
          <w:tcPr>
            <w:tcW w:w="232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vMerge w:val="restart"/>
            <w:tcBorders>
              <w:top w:val="single" w:color="000000" w:sz="2" w:space="0"/>
              <w:bottom w:val="nil"/>
            </w:tcBorders>
          </w:tcPr>
          <w:p>
            <w:pPr>
              <w:spacing w:line="286" w:lineRule="auto"/>
            </w:pPr>
          </w:p>
          <w:p>
            <w:pPr>
              <w:spacing w:line="286" w:lineRule="auto"/>
            </w:pPr>
          </w:p>
          <w:p>
            <w:pPr>
              <w:spacing w:line="286" w:lineRule="auto"/>
            </w:pPr>
          </w:p>
          <w:p>
            <w:pPr>
              <w:spacing w:line="287" w:lineRule="auto"/>
            </w:pPr>
          </w:p>
          <w:p>
            <w:pPr>
              <w:spacing w:before="78" w:line="220" w:lineRule="auto"/>
              <w:ind w:firstLine="225"/>
              <w:rPr>
                <w:rFonts w:ascii="宋体" w:hAnsi="宋体"/>
                <w:sz w:val="24"/>
                <w:szCs w:val="24"/>
              </w:rPr>
            </w:pPr>
            <w:r>
              <w:rPr>
                <w:rFonts w:hint="eastAsia" w:ascii="宋体" w:hAnsi="宋体" w:cs="宋体"/>
                <w:spacing w:val="2"/>
                <w:sz w:val="24"/>
                <w:szCs w:val="24"/>
              </w:rPr>
              <w:t>效益指标</w:t>
            </w:r>
          </w:p>
        </w:tc>
        <w:tc>
          <w:tcPr>
            <w:tcW w:w="1990"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经济效益指标</w:t>
            </w:r>
          </w:p>
        </w:tc>
        <w:tc>
          <w:tcPr>
            <w:tcW w:w="4059" w:type="dxa"/>
            <w:gridSpan w:val="2"/>
            <w:tcBorders>
              <w:top w:val="single" w:color="000000" w:sz="2" w:space="0"/>
              <w:bottom w:val="single" w:color="000000" w:sz="2" w:space="0"/>
            </w:tcBorders>
            <w:vAlign w:val="center"/>
          </w:tcPr>
          <w:p>
            <w:pPr>
              <w:jc w:val="center"/>
            </w:pPr>
          </w:p>
        </w:tc>
        <w:tc>
          <w:tcPr>
            <w:tcW w:w="232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vMerge w:val="continue"/>
            <w:tcBorders>
              <w:top w:val="nil"/>
              <w:bottom w:val="nil"/>
            </w:tcBorders>
          </w:tcPr>
          <w:p/>
        </w:tc>
        <w:tc>
          <w:tcPr>
            <w:tcW w:w="1990" w:type="dxa"/>
            <w:tcBorders>
              <w:top w:val="single" w:color="000000" w:sz="2" w:space="0"/>
              <w:bottom w:val="single" w:color="000000" w:sz="2" w:space="0"/>
            </w:tcBorders>
          </w:tcPr>
          <w:p>
            <w:pPr>
              <w:spacing w:before="189" w:line="219" w:lineRule="auto"/>
              <w:ind w:firstLine="232"/>
              <w:rPr>
                <w:rFonts w:ascii="宋体" w:hAnsi="宋体"/>
                <w:sz w:val="24"/>
                <w:szCs w:val="24"/>
              </w:rPr>
            </w:pPr>
            <w:r>
              <w:rPr>
                <w:rFonts w:hint="eastAsia" w:ascii="宋体" w:hAnsi="宋体" w:cs="宋体"/>
                <w:spacing w:val="1"/>
                <w:sz w:val="24"/>
                <w:szCs w:val="24"/>
              </w:rPr>
              <w:t>社会效益指标</w:t>
            </w:r>
          </w:p>
        </w:tc>
        <w:tc>
          <w:tcPr>
            <w:tcW w:w="4059" w:type="dxa"/>
            <w:gridSpan w:val="2"/>
            <w:tcBorders>
              <w:top w:val="single" w:color="000000" w:sz="2" w:space="0"/>
              <w:bottom w:val="single" w:color="000000" w:sz="2" w:space="0"/>
            </w:tcBorders>
            <w:vAlign w:val="center"/>
          </w:tcPr>
          <w:p>
            <w:pPr>
              <w:jc w:val="center"/>
            </w:pPr>
            <w:r>
              <w:rPr>
                <w:rFonts w:hint="eastAsia"/>
              </w:rPr>
              <w:t>对保障财政业务开展和效率的提升程度</w:t>
            </w:r>
          </w:p>
        </w:tc>
        <w:tc>
          <w:tcPr>
            <w:tcW w:w="2321" w:type="dxa"/>
            <w:tcBorders>
              <w:top w:val="single" w:color="000000" w:sz="2" w:space="0"/>
              <w:bottom w:val="single" w:color="000000" w:sz="2" w:space="0"/>
            </w:tcBorders>
            <w:vAlign w:val="center"/>
          </w:tcPr>
          <w:p>
            <w:pPr>
              <w:jc w:val="center"/>
            </w:pPr>
          </w:p>
          <w:p>
            <w:pPr>
              <w:jc w:val="center"/>
            </w:pPr>
            <w:r>
              <w:rPr>
                <w:rFonts w:hint="eastAsi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vMerge w:val="continue"/>
            <w:tcBorders>
              <w:top w:val="nil"/>
              <w:bottom w:val="nil"/>
            </w:tcBorders>
          </w:tcPr>
          <w:p/>
        </w:tc>
        <w:tc>
          <w:tcPr>
            <w:tcW w:w="1990"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生态效益指标</w:t>
            </w:r>
          </w:p>
        </w:tc>
        <w:tc>
          <w:tcPr>
            <w:tcW w:w="4059" w:type="dxa"/>
            <w:gridSpan w:val="2"/>
            <w:tcBorders>
              <w:top w:val="single" w:color="000000" w:sz="2" w:space="0"/>
              <w:bottom w:val="single" w:color="000000" w:sz="2" w:space="0"/>
            </w:tcBorders>
            <w:vAlign w:val="center"/>
          </w:tcPr>
          <w:p>
            <w:pPr>
              <w:jc w:val="center"/>
            </w:pPr>
          </w:p>
        </w:tc>
        <w:tc>
          <w:tcPr>
            <w:tcW w:w="232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vMerge w:val="continue"/>
            <w:tcBorders>
              <w:top w:val="nil"/>
              <w:bottom w:val="single" w:color="000000" w:sz="2" w:space="0"/>
            </w:tcBorders>
          </w:tcPr>
          <w:p/>
        </w:tc>
        <w:tc>
          <w:tcPr>
            <w:tcW w:w="1990" w:type="dxa"/>
            <w:tcBorders>
              <w:top w:val="single" w:color="000000" w:sz="2" w:space="0"/>
              <w:bottom w:val="single" w:color="000000" w:sz="2" w:space="0"/>
            </w:tcBorders>
          </w:tcPr>
          <w:p>
            <w:pPr>
              <w:spacing w:before="300" w:line="219" w:lineRule="auto"/>
              <w:ind w:firstLine="111"/>
              <w:rPr>
                <w:rFonts w:ascii="宋体" w:hAnsi="宋体"/>
                <w:sz w:val="24"/>
                <w:szCs w:val="24"/>
              </w:rPr>
            </w:pPr>
            <w:r>
              <w:rPr>
                <w:rFonts w:hint="eastAsia" w:ascii="宋体" w:hAnsi="宋体" w:cs="宋体"/>
                <w:spacing w:val="1"/>
                <w:sz w:val="24"/>
                <w:szCs w:val="24"/>
              </w:rPr>
              <w:t>可持续影响指标</w:t>
            </w:r>
          </w:p>
        </w:tc>
        <w:tc>
          <w:tcPr>
            <w:tcW w:w="4059" w:type="dxa"/>
            <w:gridSpan w:val="2"/>
            <w:tcBorders>
              <w:top w:val="single" w:color="000000" w:sz="2" w:space="0"/>
              <w:bottom w:val="single" w:color="000000" w:sz="2" w:space="0"/>
            </w:tcBorders>
            <w:vAlign w:val="center"/>
          </w:tcPr>
          <w:p>
            <w:pPr>
              <w:jc w:val="center"/>
            </w:pPr>
            <w:r>
              <w:rPr>
                <w:rFonts w:hint="eastAsia"/>
              </w:rPr>
              <w:t>信息系统可用性及稳定性的改善或提升程度</w:t>
            </w:r>
          </w:p>
        </w:tc>
        <w:tc>
          <w:tcPr>
            <w:tcW w:w="2321" w:type="dxa"/>
            <w:tcBorders>
              <w:top w:val="single" w:color="000000" w:sz="2" w:space="0"/>
              <w:bottom w:val="single" w:color="000000" w:sz="2" w:space="0"/>
            </w:tcBorders>
            <w:vAlign w:val="center"/>
          </w:tcPr>
          <w:p>
            <w:pPr>
              <w:jc w:val="center"/>
            </w:pPr>
            <w:r>
              <w:rPr>
                <w:rFonts w:hint="eastAsi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tcBorders>
              <w:top w:val="single" w:color="000000" w:sz="2" w:space="0"/>
              <w:bottom w:val="single" w:color="000000" w:sz="2" w:space="0"/>
            </w:tcBorders>
          </w:tcPr>
          <w:p>
            <w:pPr>
              <w:spacing w:before="300" w:line="219" w:lineRule="auto"/>
              <w:ind w:firstLine="104"/>
              <w:rPr>
                <w:rFonts w:ascii="宋体" w:hAnsi="宋体"/>
                <w:sz w:val="24"/>
                <w:szCs w:val="24"/>
              </w:rPr>
            </w:pPr>
            <w:r>
              <w:rPr>
                <w:rFonts w:hint="eastAsia" w:ascii="宋体" w:hAnsi="宋体" w:cs="宋体"/>
                <w:spacing w:val="-2"/>
                <w:sz w:val="24"/>
                <w:szCs w:val="24"/>
              </w:rPr>
              <w:t>满意度指标</w:t>
            </w:r>
          </w:p>
        </w:tc>
        <w:tc>
          <w:tcPr>
            <w:tcW w:w="1990" w:type="dxa"/>
            <w:tcBorders>
              <w:top w:val="single" w:color="000000" w:sz="2" w:space="0"/>
              <w:bottom w:val="single" w:color="000000" w:sz="2" w:space="0"/>
            </w:tcBorders>
          </w:tcPr>
          <w:p>
            <w:pPr>
              <w:spacing w:before="300" w:line="219" w:lineRule="auto"/>
              <w:ind w:firstLine="351"/>
              <w:rPr>
                <w:rFonts w:ascii="宋体" w:hAnsi="宋体"/>
                <w:sz w:val="24"/>
                <w:szCs w:val="24"/>
              </w:rPr>
            </w:pPr>
            <w:r>
              <w:rPr>
                <w:rFonts w:hint="eastAsia" w:ascii="宋体" w:hAnsi="宋体" w:cs="宋体"/>
                <w:spacing w:val="-2"/>
                <w:sz w:val="24"/>
                <w:szCs w:val="24"/>
              </w:rPr>
              <w:t>满意度指标</w:t>
            </w:r>
          </w:p>
        </w:tc>
        <w:tc>
          <w:tcPr>
            <w:tcW w:w="4059" w:type="dxa"/>
            <w:gridSpan w:val="2"/>
            <w:tcBorders>
              <w:top w:val="single" w:color="000000" w:sz="2" w:space="0"/>
              <w:bottom w:val="single" w:color="000000" w:sz="2" w:space="0"/>
            </w:tcBorders>
            <w:vAlign w:val="center"/>
          </w:tcPr>
          <w:p>
            <w:pPr>
              <w:jc w:val="center"/>
            </w:pPr>
            <w:r>
              <w:rPr>
                <w:rFonts w:hint="eastAsia"/>
              </w:rPr>
              <w:t>服务对象满意度</w:t>
            </w:r>
          </w:p>
        </w:tc>
        <w:tc>
          <w:tcPr>
            <w:tcW w:w="2321" w:type="dxa"/>
            <w:tcBorders>
              <w:top w:val="single" w:color="000000" w:sz="2" w:space="0"/>
              <w:bottom w:val="single" w:color="000000" w:sz="2" w:space="0"/>
            </w:tcBorders>
            <w:vAlign w:val="center"/>
          </w:tcPr>
          <w:p>
            <w:pPr>
              <w:jc w:val="center"/>
            </w:pPr>
          </w:p>
          <w:p>
            <w:pPr>
              <w:jc w:val="center"/>
            </w:pPr>
            <w:r>
              <w:rPr>
                <w:rFonts w:hint="eastAsia"/>
              </w:rPr>
              <w:t>95%</w:t>
            </w:r>
          </w:p>
        </w:tc>
      </w:tr>
    </w:tbl>
    <w:p>
      <w:pPr>
        <w:spacing w:before="271" w:line="221" w:lineRule="auto"/>
        <w:jc w:val="center"/>
        <w:rPr>
          <w:rFonts w:ascii="幼圆" w:hAnsi="幼圆" w:eastAsia="幼圆"/>
          <w:sz w:val="26"/>
          <w:szCs w:val="26"/>
        </w:rPr>
      </w:pPr>
      <w:r>
        <w:rPr>
          <w:rFonts w:ascii="幼圆" w:hAnsi="幼圆" w:eastAsia="幼圆" w:cs="幼圆"/>
          <w:spacing w:val="8"/>
          <w:sz w:val="26"/>
          <w:szCs w:val="26"/>
        </w:rPr>
        <w:t>(202</w:t>
      </w:r>
      <w:r>
        <w:rPr>
          <w:rFonts w:hint="eastAsia" w:ascii="幼圆" w:hAnsi="幼圆" w:eastAsia="幼圆" w:cs="幼圆"/>
          <w:spacing w:val="8"/>
          <w:sz w:val="26"/>
          <w:szCs w:val="26"/>
          <w:lang w:val="en-US" w:eastAsia="zh-CN"/>
        </w:rPr>
        <w:t>4</w:t>
      </w:r>
      <w:r>
        <w:rPr>
          <w:rFonts w:hint="eastAsia" w:ascii="幼圆" w:hAnsi="幼圆" w:eastAsia="幼圆" w:cs="幼圆"/>
          <w:spacing w:val="8"/>
          <w:sz w:val="26"/>
          <w:szCs w:val="26"/>
        </w:rPr>
        <w:t>年度</w:t>
      </w:r>
      <w:r>
        <w:rPr>
          <w:rFonts w:ascii="幼圆" w:hAnsi="幼圆" w:eastAsia="幼圆" w:cs="幼圆"/>
          <w:spacing w:val="8"/>
          <w:sz w:val="26"/>
          <w:szCs w:val="26"/>
        </w:rPr>
        <w:t>)</w:t>
      </w:r>
    </w:p>
    <w:p>
      <w:pPr>
        <w:tabs>
          <w:tab w:val="left" w:pos="4696"/>
        </w:tabs>
        <w:bidi w:val="0"/>
        <w:jc w:val="left"/>
        <w:rPr>
          <w:rFonts w:hint="eastAsia"/>
          <w:lang w:val="en-US" w:eastAsia="zh-CN"/>
        </w:rPr>
      </w:pPr>
    </w:p>
    <w:sectPr>
      <w:pgSz w:w="16837" w:h="11905"/>
      <w:pgMar w:top="400" w:right="777" w:bottom="400" w:left="75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044131"/>
    <w:multiLevelType w:val="singleLevel"/>
    <w:tmpl w:val="9E044131"/>
    <w:lvl w:ilvl="0" w:tentative="0">
      <w:start w:val="1"/>
      <w:numFmt w:val="chineseCounting"/>
      <w:suff w:val="space"/>
      <w:lvlText w:val="(%1)"/>
      <w:lvlJc w:val="left"/>
      <w:rPr>
        <w:rFonts w:hint="eastAsia"/>
      </w:rPr>
    </w:lvl>
  </w:abstractNum>
  <w:abstractNum w:abstractNumId="1">
    <w:nsid w:val="51024CD5"/>
    <w:multiLevelType w:val="singleLevel"/>
    <w:tmpl w:val="51024CD5"/>
    <w:lvl w:ilvl="0" w:tentative="0">
      <w:start w:val="4"/>
      <w:numFmt w:val="chineseCounting"/>
      <w:suff w:val="space"/>
      <w:lvlText w:val="(%1)"/>
      <w:lvlJc w:val="left"/>
      <w:rPr>
        <w:rFonts w:hint="eastAsia"/>
      </w:rPr>
    </w:lvl>
  </w:abstractNum>
  <w:abstractNum w:abstractNumId="2">
    <w:nsid w:val="7E1A5FF5"/>
    <w:multiLevelType w:val="singleLevel"/>
    <w:tmpl w:val="7E1A5FF5"/>
    <w:lvl w:ilvl="0" w:tentative="0">
      <w:start w:val="5"/>
      <w:numFmt w:val="chineseCounting"/>
      <w:suff w:val="space"/>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WI4Zjc1MTNkNDA5YjY3MjY2NDc4MzY3NTRjZGZlNmQifQ=="/>
    <w:docVar w:name="KSO_WPS_MARK_KEY" w:val="1e40a9dc-6e60-4211-844e-3668d58b9cfb"/>
  </w:docVars>
  <w:rsids>
    <w:rsidRoot w:val="00000000"/>
    <w:rsid w:val="05F170FC"/>
    <w:rsid w:val="089D7094"/>
    <w:rsid w:val="0B0C1CF7"/>
    <w:rsid w:val="15147829"/>
    <w:rsid w:val="16B9660F"/>
    <w:rsid w:val="16F0248F"/>
    <w:rsid w:val="17125CEF"/>
    <w:rsid w:val="19240519"/>
    <w:rsid w:val="1BF31DA0"/>
    <w:rsid w:val="1D411194"/>
    <w:rsid w:val="1E557912"/>
    <w:rsid w:val="1E5E4FA4"/>
    <w:rsid w:val="202B3E3B"/>
    <w:rsid w:val="23273150"/>
    <w:rsid w:val="25A83BFF"/>
    <w:rsid w:val="2B970E6F"/>
    <w:rsid w:val="2F1D0548"/>
    <w:rsid w:val="3054702B"/>
    <w:rsid w:val="32F742D6"/>
    <w:rsid w:val="33C87A09"/>
    <w:rsid w:val="38E946AA"/>
    <w:rsid w:val="40987F17"/>
    <w:rsid w:val="40E43751"/>
    <w:rsid w:val="455E5271"/>
    <w:rsid w:val="46E279EB"/>
    <w:rsid w:val="4D525A35"/>
    <w:rsid w:val="4E5D2380"/>
    <w:rsid w:val="50E8661C"/>
    <w:rsid w:val="50E96826"/>
    <w:rsid w:val="51081D09"/>
    <w:rsid w:val="53BE34E1"/>
    <w:rsid w:val="58051797"/>
    <w:rsid w:val="59E9142F"/>
    <w:rsid w:val="5D245146"/>
    <w:rsid w:val="5FFD381A"/>
    <w:rsid w:val="616B26F2"/>
    <w:rsid w:val="66B4037C"/>
    <w:rsid w:val="690F6F65"/>
    <w:rsid w:val="6ACB287E"/>
    <w:rsid w:val="6D5B5A65"/>
    <w:rsid w:val="70EF0A99"/>
    <w:rsid w:val="720E5DB1"/>
    <w:rsid w:val="73B92CBF"/>
    <w:rsid w:val="7A026393"/>
    <w:rsid w:val="7A715CD2"/>
    <w:rsid w:val="7E9578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w:basedOn w:val="1"/>
    <w:qFormat/>
    <w:uiPriority w:val="99"/>
    <w:pPr>
      <w:ind w:left="200" w:hanging="200" w:hangingChars="200"/>
    </w:pPr>
    <w:rPr>
      <w:rFonts w:ascii="Calibri" w:hAnsi="Calibri" w:cs="Calibri"/>
    </w:rPr>
  </w:style>
  <w:style w:type="paragraph" w:styleId="3">
    <w:name w:val="Body Text"/>
    <w:basedOn w:val="1"/>
    <w:semiHidden/>
    <w:qFormat/>
    <w:uiPriority w:val="0"/>
    <w:rPr>
      <w:rFonts w:ascii="仿宋" w:hAnsi="仿宋" w:eastAsia="仿宋" w:cs="仿宋"/>
      <w:sz w:val="31"/>
      <w:szCs w:val="31"/>
      <w:lang w:val="en-US" w:eastAsia="en-US" w:bidi="ar-SA"/>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18</Pages>
  <Words>3391</Words>
  <Characters>3813</Characters>
  <TotalTime>73</TotalTime>
  <ScaleCrop>false</ScaleCrop>
  <LinksUpToDate>false</LinksUpToDate>
  <CharactersWithSpaces>3948</CharactersWithSpaces>
  <Application>WPS Office_11.1.0.12165_F1E327BC-269C-435d-A152-05C5408002CA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2023-10-07T15:13:00Z</dcterms:created>
  <dc:creator>1</dc:creator>
  <cp:lastModifiedBy>WJX</cp:lastModifiedBy>
  <cp:lastPrinted>2024-01-02T07:38:00Z</cp:lastPrinted>
  <dcterms:modified xsi:type="dcterms:W3CDTF">2024-02-26T07:05:38Z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2023-12-29T21:51:10Z</vt:filetime>
  </property>
  <property fmtid="{D5CDD505-2E9C-101B-9397-08002B2CF9AE}" pid="4" name="KSOProductBuildVer">
    <vt:lpwstr>2052-11.1.0.12165</vt:lpwstr>
  </property>
  <property fmtid="{D5CDD505-2E9C-101B-9397-08002B2CF9AE}" pid="5" name="ICV">
    <vt:lpwstr>6870412F7EF64B09BAA36F3FE4D62AA2</vt:lpwstr>
  </property>
</Properties>
</file>