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0" w:firstLineChars="0"/>
        <w:rPr>
          <w:rFonts w:ascii="Arial" w:hAnsi="Arial" w:eastAsia="Times New Roman" w:cs="Times New Roman"/>
        </w:rPr>
      </w:pPr>
    </w:p>
    <w:p>
      <w:pPr>
        <w:pStyle w:val="2"/>
        <w:ind w:left="0" w:firstLine="0" w:firstLineChars="0"/>
        <w:rPr>
          <w:rFonts w:ascii="Arial" w:hAnsi="Arial" w:eastAsia="Times New Roman" w:cs="Times New Roman"/>
        </w:rPr>
      </w:pPr>
    </w:p>
    <w:p>
      <w:pPr>
        <w:pStyle w:val="2"/>
        <w:ind w:left="0" w:firstLine="0" w:firstLineChars="0"/>
        <w:rPr>
          <w:rFonts w:ascii="Arial" w:hAnsi="Arial" w:eastAsia="Times New Roman" w:cs="Times New Roman"/>
        </w:rPr>
      </w:pPr>
    </w:p>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outlineLvl w:val="0"/>
        <w:rPr>
          <w:rFonts w:ascii="Times New Roman" w:hAnsi="Times New Roman" w:eastAsia="仿宋_GB2312"/>
          <w:sz w:val="32"/>
          <w:szCs w:val="32"/>
        </w:rPr>
      </w:pPr>
    </w:p>
    <w:p>
      <w:pPr>
        <w:pStyle w:val="2"/>
        <w:ind w:left="31680" w:firstLine="31680"/>
        <w:rPr>
          <w:rFonts w:ascii="Times New Roman" w:hAnsi="Times New Roman" w:eastAsia="仿宋_GB2312"/>
          <w:sz w:val="32"/>
          <w:szCs w:val="32"/>
        </w:rPr>
      </w:pPr>
    </w:p>
    <w:p>
      <w:pPr>
        <w:pStyle w:val="2"/>
        <w:ind w:left="31680" w:firstLine="31680"/>
        <w:rPr>
          <w:rFonts w:ascii="Times New Roman" w:hAnsi="Times New Roman" w:eastAsia="仿宋_GB2312"/>
          <w:sz w:val="32"/>
          <w:szCs w:val="32"/>
        </w:rPr>
      </w:pPr>
    </w:p>
    <w:p>
      <w:pPr>
        <w:spacing w:line="560" w:lineRule="exact"/>
        <w:jc w:val="both"/>
        <w:rPr>
          <w:rFonts w:ascii="Times New Roman" w:hAnsi="Times New Roman" w:eastAsia="仿宋_GB2312"/>
          <w:spacing w:val="10"/>
          <w:sz w:val="32"/>
          <w:szCs w:val="32"/>
        </w:rPr>
      </w:pPr>
    </w:p>
    <w:p>
      <w:pPr>
        <w:spacing w:afterLines="150" w:line="560" w:lineRule="exact"/>
        <w:rPr>
          <w:rFonts w:ascii="Times New Roman" w:hAnsi="Times New Roman" w:eastAsia="仿宋_GB2312"/>
          <w:spacing w:val="10"/>
          <w:sz w:val="32"/>
          <w:szCs w:val="32"/>
        </w:rPr>
      </w:pPr>
    </w:p>
    <w:p>
      <w:pPr>
        <w:spacing w:line="560" w:lineRule="exact"/>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附件</w:t>
      </w:r>
      <w:r>
        <w:rPr>
          <w:rFonts w:ascii="Times New Roman" w:hAnsi="Times New Roman" w:eastAsia="仿宋_GB2312" w:cs="Times New Roman"/>
          <w:spacing w:val="10"/>
          <w:sz w:val="32"/>
          <w:szCs w:val="32"/>
        </w:rPr>
        <w:t>1</w:t>
      </w:r>
    </w:p>
    <w:p>
      <w:pPr>
        <w:spacing w:afterLines="100" w:line="560" w:lineRule="exact"/>
        <w:rPr>
          <w:rFonts w:ascii="Times New Roman" w:hAnsi="Times New Roman" w:eastAsia="仿宋_GB2312"/>
          <w:spacing w:val="10"/>
          <w:sz w:val="32"/>
          <w:szCs w:val="32"/>
        </w:rPr>
      </w:pPr>
    </w:p>
    <w:p>
      <w:pPr>
        <w:spacing w:line="560" w:lineRule="exact"/>
        <w:jc w:val="center"/>
        <w:rPr>
          <w:rFonts w:ascii="方正小标宋简体" w:hAnsi="方正小标宋简体" w:eastAsia="方正小标宋简体"/>
          <w:spacing w:val="10"/>
          <w:sz w:val="44"/>
          <w:szCs w:val="44"/>
        </w:rPr>
      </w:pPr>
      <w:r>
        <w:rPr>
          <w:rFonts w:hint="eastAsia" w:ascii="方正小标宋简体" w:hAnsi="方正小标宋简体" w:eastAsia="方正小标宋简体" w:cs="方正小标宋简体"/>
          <w:spacing w:val="10"/>
          <w:sz w:val="44"/>
          <w:szCs w:val="44"/>
          <w:lang w:eastAsia="zh-CN"/>
        </w:rPr>
        <w:t>南昌市新建区教育体育局（本级）</w:t>
      </w:r>
      <w:r>
        <w:rPr>
          <w:rFonts w:ascii="方正小标宋简体" w:hAnsi="方正小标宋简体" w:eastAsia="方正小标宋简体" w:cs="方正小标宋简体"/>
          <w:spacing w:val="10"/>
          <w:sz w:val="44"/>
          <w:szCs w:val="44"/>
        </w:rPr>
        <w:t>202</w:t>
      </w:r>
      <w:r>
        <w:rPr>
          <w:rFonts w:hint="eastAsia" w:ascii="方正小标宋简体" w:hAnsi="方正小标宋简体" w:eastAsia="方正小标宋简体" w:cs="方正小标宋简体"/>
          <w:spacing w:val="10"/>
          <w:sz w:val="44"/>
          <w:szCs w:val="44"/>
          <w:lang w:val="en-US" w:eastAsia="zh-CN"/>
        </w:rPr>
        <w:t>3</w:t>
      </w:r>
      <w:r>
        <w:rPr>
          <w:rFonts w:hint="eastAsia" w:ascii="方正小标宋简体" w:hAnsi="方正小标宋简体" w:eastAsia="方正小标宋简体" w:cs="方正小标宋简体"/>
          <w:spacing w:val="10"/>
          <w:sz w:val="44"/>
          <w:szCs w:val="44"/>
        </w:rPr>
        <w:t>年</w:t>
      </w:r>
      <w:r>
        <w:rPr>
          <w:rFonts w:hint="eastAsia" w:ascii="方正小标宋简体" w:hAnsi="方正小标宋简体" w:eastAsia="方正小标宋简体" w:cs="方正小标宋简体"/>
          <w:spacing w:val="10"/>
          <w:sz w:val="44"/>
          <w:szCs w:val="44"/>
          <w:lang w:eastAsia="zh-CN"/>
        </w:rPr>
        <w:t>部门</w:t>
      </w:r>
      <w:r>
        <w:rPr>
          <w:rFonts w:hint="eastAsia" w:ascii="方正小标宋简体" w:hAnsi="方正小标宋简体" w:eastAsia="方正小标宋简体" w:cs="方正小标宋简体"/>
          <w:spacing w:val="10"/>
          <w:sz w:val="44"/>
          <w:szCs w:val="44"/>
        </w:rPr>
        <w:t>预算</w:t>
      </w:r>
    </w:p>
    <w:p>
      <w:pPr>
        <w:spacing w:afterLines="82" w:line="560" w:lineRule="exact"/>
        <w:rPr>
          <w:rFonts w:ascii="Times New Roman" w:hAnsi="Times New Roman" w:eastAsia="仿宋_GB2312"/>
          <w:spacing w:val="10"/>
          <w:sz w:val="32"/>
          <w:szCs w:val="32"/>
        </w:rPr>
      </w:pPr>
    </w:p>
    <w:p>
      <w:pPr>
        <w:spacing w:line="560" w:lineRule="exact"/>
        <w:jc w:val="center"/>
        <w:rPr>
          <w:rFonts w:ascii="宋体" w:hAnsi="宋体"/>
          <w:spacing w:val="10"/>
          <w:sz w:val="36"/>
          <w:szCs w:val="36"/>
        </w:rPr>
      </w:pPr>
      <w:r>
        <w:rPr>
          <w:rFonts w:hint="eastAsia" w:ascii="宋体" w:hAnsi="宋体" w:cs="宋体"/>
          <w:spacing w:val="10"/>
          <w:sz w:val="36"/>
          <w:szCs w:val="36"/>
        </w:rPr>
        <w:t>目</w:t>
      </w:r>
      <w:r>
        <w:rPr>
          <w:rFonts w:ascii="宋体" w:hAnsi="宋体" w:cs="宋体"/>
          <w:spacing w:val="10"/>
          <w:sz w:val="36"/>
          <w:szCs w:val="36"/>
        </w:rPr>
        <w:t xml:space="preserve">   </w:t>
      </w:r>
      <w:r>
        <w:rPr>
          <w:rFonts w:hint="eastAsia" w:ascii="宋体" w:hAnsi="宋体" w:cs="宋体"/>
          <w:spacing w:val="10"/>
          <w:sz w:val="36"/>
          <w:szCs w:val="36"/>
        </w:rPr>
        <w:t>录</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概况</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一、部门主要职责</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二、机构设置及人员情况</w:t>
      </w:r>
    </w:p>
    <w:p>
      <w:pPr>
        <w:spacing w:line="56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南昌市新建区教育体育局2</w:t>
      </w:r>
      <w:r>
        <w:rPr>
          <w:rFonts w:hint="eastAsia" w:ascii="黑体" w:hAnsi="黑体" w:eastAsia="黑体" w:cs="黑体"/>
          <w:spacing w:val="10"/>
          <w:sz w:val="32"/>
          <w:szCs w:val="32"/>
        </w:rPr>
        <w:t>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年预算表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一、《收支预算总表》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二、《部门收入总表》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三、《部门支出总表》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四、《财政拨款收支总表》</w:t>
      </w:r>
    </w:p>
    <w:p>
      <w:pPr>
        <w:spacing w:line="560" w:lineRule="exact"/>
        <w:ind w:firstLine="680" w:firstLineChars="200"/>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五、《一般公共预算支出表》</w:t>
      </w:r>
      <w:r>
        <w:rPr>
          <w:rFonts w:ascii="Times New Roman" w:hAnsi="Times New Roman" w:eastAsia="仿宋_GB2312" w:cs="Times New Roman"/>
          <w:spacing w:val="10"/>
          <w:sz w:val="32"/>
          <w:szCs w:val="32"/>
        </w:rPr>
        <w:t xml:space="preserve">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六、《一般公共预算基本支出表》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七、《一般公共预算</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八、《政府性基金预算支出表》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九、《国有资本经营预算支出表》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十、《项目</w:t>
      </w:r>
      <w:r>
        <w:rPr>
          <w:rFonts w:hint="eastAsia" w:ascii="Times New Roman" w:hAnsi="Times New Roman" w:eastAsia="仿宋_GB2312" w:cs="仿宋_GB2312"/>
          <w:spacing w:val="10"/>
          <w:sz w:val="32"/>
          <w:szCs w:val="32"/>
          <w:lang w:eastAsia="zh-CN"/>
        </w:rPr>
        <w:t>支出</w:t>
      </w:r>
      <w:r>
        <w:rPr>
          <w:rFonts w:hint="eastAsia" w:ascii="Times New Roman" w:hAnsi="Times New Roman" w:eastAsia="仿宋_GB2312" w:cs="仿宋_GB2312"/>
          <w:spacing w:val="10"/>
          <w:sz w:val="32"/>
          <w:szCs w:val="32"/>
        </w:rPr>
        <w:t>绩效目标表》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十一、《部门整体支出绩效目标表》</w:t>
      </w:r>
    </w:p>
    <w:p>
      <w:pPr>
        <w:spacing w:line="560" w:lineRule="exact"/>
        <w:rPr>
          <w:rFonts w:hint="eastAsia"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 xml:space="preserve">年预算情况说明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w:t>
      </w: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年部门预算收支情况说明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w:t>
      </w:r>
      <w:r>
        <w:rPr>
          <w:rFonts w:ascii="Times New Roman" w:hAnsi="Times New Roman" w:eastAsia="仿宋_GB2312" w:cs="Times New Roman"/>
          <w:spacing w:val="10"/>
          <w:sz w:val="32"/>
          <w:szCs w:val="32"/>
        </w:rPr>
        <w:t>202</w:t>
      </w:r>
      <w:r>
        <w:rPr>
          <w:rFonts w:hint="eastAsia" w:ascii="Times New Roman" w:hAnsi="Times New Roman" w:eastAsia="仿宋_GB2312" w:cs="Times New Roman"/>
          <w:spacing w:val="10"/>
          <w:sz w:val="32"/>
          <w:szCs w:val="32"/>
          <w:lang w:val="en-US" w:eastAsia="zh-CN"/>
        </w:rPr>
        <w:t>3</w:t>
      </w:r>
      <w:r>
        <w:rPr>
          <w:rFonts w:hint="eastAsia" w:ascii="Times New Roman" w:hAnsi="Times New Roman" w:eastAsia="仿宋_GB2312" w:cs="仿宋_GB2312"/>
          <w:spacing w:val="10"/>
          <w:sz w:val="32"/>
          <w:szCs w:val="32"/>
        </w:rPr>
        <w:t>年</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经费预算情况说明</w:t>
      </w:r>
    </w:p>
    <w:p>
      <w:pPr>
        <w:spacing w:line="560" w:lineRule="exact"/>
        <w:sectPr>
          <w:footerReference r:id="rId3" w:type="default"/>
          <w:pgSz w:w="11900" w:h="16820"/>
          <w:pgMar w:top="1417" w:right="1417" w:bottom="1417" w:left="1417" w:header="0" w:footer="1089" w:gutter="0"/>
          <w:pgNumType w:fmt="numberInDash"/>
          <w:cols w:space="720" w:num="1"/>
        </w:sect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rPr>
          <w:rFonts w:ascii="Times New Roman" w:hAnsi="Times New Roman" w:eastAsia="仿宋_GB2312"/>
          <w:spacing w:val="10"/>
          <w:sz w:val="32"/>
          <w:szCs w:val="32"/>
        </w:rPr>
      </w:pPr>
    </w:p>
    <w:p>
      <w:pPr>
        <w:spacing w:line="560" w:lineRule="exact"/>
        <w:rPr>
          <w:rFonts w:ascii="Times New Roman" w:hAnsi="Times New Roman" w:eastAsia="仿宋_GB2312"/>
          <w:spacing w:val="10"/>
          <w:sz w:val="32"/>
          <w:szCs w:val="32"/>
        </w:rPr>
      </w:pPr>
    </w:p>
    <w:p>
      <w:pPr>
        <w:pStyle w:val="2"/>
        <w:ind w:left="31680" w:firstLine="31680"/>
      </w:pPr>
    </w:p>
    <w:p>
      <w:pPr>
        <w:spacing w:line="560" w:lineRule="exact"/>
        <w:jc w:val="center"/>
        <w:rPr>
          <w:rFonts w:hint="eastAsia" w:ascii="黑体" w:hAnsi="黑体" w:eastAsia="黑体" w:cs="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概况</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一、主要职责</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1、负责全面贯彻落实党和国家的教育、体育方针和政策。按照国家、省、市教育体育发展战略，研究制订符合我区区情的教育体育发展规划和教育体育工作方针，拟订教育体育事业发展战略和规则，制订有关规定、制度并组织实施和监督执行。</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2、负责组织执行国家制定的各级各类学校的设置标准，组织指导各类教育的教育教学改革，全面推进素质教育；统筹规划、协调指导我区教育网点布局，理顺教育内部和外部的关系。</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3、负责推进义务教育均衡发展和促进教育公平，综合管理我区中小学、幼儿园和职业教育、特殊教育学校的教育行政工作，负责审批社会力量举办的初等学历教育机构，配合乡（镇）做好社会力量举办的幼儿教育机构审批，指导、管理、监督、检查和评估民办学校的教育教学工作，负责全区各级各类学校教育教学的行政和业务管理；负责全区教科体系统信息的统计与分析工作；统筹管理全区现代化远程教育工作。</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4、负责主管全区学校教师工作。统筹规划并指导全区各级各类学校教师队伍建设，负责全区教师资格认定和管理，负责教师系列专业技术职务评聘以及教育系统表彰奖励工作，负责各级学校（单位）干部和教职工的培训、使用、调整和管理。</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5、负责统筹管理区本级教育体育经费。会同有关部门制订筹措教育体育经费、拨款、基建投资的政策和实施办法；安排、管理和协调区直学校和乡（镇）中小学的经费使用计划、财务、校建工作；审查、实施全区体育场地建设规划，指导各类场（校）建筑设计及管理；筹措、核定、发放教育资助资金，监督测评全区教育体育经费的筹措和使用管理情况；负责组织学校开展勤工俭学工作，协助有关部门做好学生平安保险、城镇医疗保险工作。</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6、负责直属学校和城区民办学校（园）的党群工作。指导全区各级各类学校思想政治工作、德育工作、体育工作、卫生工作、美育工作和国防教育、科技教育、劳动教育、人口教育等工作；统筹指导学校的安全稳定工作，协调相关部门做好校园及周边环境整治工作。</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7、负责归口管理全区普通高等教育、高等职业教育、成人高等教育、自学考试等招生考试工作；会同有关部门做好全区大中专毕业生的就业指导与服务工作。</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8、负责组织开展教育督导工作。负责对乡（镇）人民政府及有关职能部门履行教育工作职责情况的督促检查，组织对普及九年义务教育和发展高中阶段教育、学前教育工作的督导与评估；指导成人教育工作，负责基础教育发展水平、质量的监测工作。</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9、负责协助区人大、行政监察和审计机构进行有关教育体育执法、归口指导和服务工作。开展教育体育执法监督检查，做好全区性体育社团的资格审核、业务指导和体育市场的管理；协助司法、公安等部门和检察、审判机关解决教育纠纷，维护教育法律关系主体合法权益。</w:t>
      </w:r>
    </w:p>
    <w:p>
      <w:pPr>
        <w:spacing w:line="576"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rPr>
        <w:t>10、负责综合管理我区体育工作。负责全区竞技体育、群众体育和体育产业协调发展；协调各部门、各行业、各社会团体、指导和推动学校体育、农村体育、城市体育及其他社会群众体育的发展；指导、督促、检查全县体育工作；负责组织指导全区推行全民健身计划，实施体育锻炼标准，实行体质监测，实行社会体育指导员技术等级制度。</w:t>
      </w:r>
    </w:p>
    <w:p>
      <w:pPr>
        <w:spacing w:line="56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二、机构设置及人员情况</w:t>
      </w:r>
    </w:p>
    <w:p>
      <w:pPr>
        <w:spacing w:line="56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编制数</w:t>
      </w:r>
      <w:r>
        <w:rPr>
          <w:rFonts w:hint="eastAsia" w:ascii="仿宋_GB2312" w:hAnsi="仿宋" w:eastAsia="仿宋_GB2312"/>
          <w:sz w:val="28"/>
          <w:szCs w:val="28"/>
          <w:lang w:val="en-US" w:eastAsia="zh-CN"/>
        </w:rPr>
        <w:t>76</w:t>
      </w:r>
      <w:r>
        <w:rPr>
          <w:rFonts w:hint="eastAsia" w:ascii="仿宋_GB2312" w:hAnsi="仿宋" w:eastAsia="仿宋_GB2312"/>
          <w:sz w:val="28"/>
          <w:szCs w:val="28"/>
        </w:rPr>
        <w:t>人：其中行政</w:t>
      </w:r>
      <w:r>
        <w:rPr>
          <w:rFonts w:hint="eastAsia" w:ascii="仿宋_GB2312" w:hAnsi="仿宋" w:eastAsia="仿宋_GB2312"/>
          <w:sz w:val="28"/>
          <w:szCs w:val="28"/>
          <w:lang w:eastAsia="zh-CN"/>
        </w:rPr>
        <w:t>编制</w:t>
      </w:r>
      <w:r>
        <w:rPr>
          <w:rFonts w:hint="eastAsia" w:ascii="仿宋_GB2312" w:hAnsi="仿宋" w:eastAsia="仿宋_GB2312"/>
          <w:sz w:val="28"/>
          <w:szCs w:val="28"/>
          <w:lang w:val="en-US" w:eastAsia="zh-CN"/>
        </w:rPr>
        <w:t>23</w:t>
      </w:r>
      <w:r>
        <w:rPr>
          <w:rFonts w:hint="eastAsia" w:ascii="仿宋_GB2312" w:hAnsi="仿宋" w:eastAsia="仿宋_GB2312"/>
          <w:sz w:val="28"/>
          <w:szCs w:val="28"/>
        </w:rPr>
        <w:t>人、</w:t>
      </w:r>
      <w:r>
        <w:rPr>
          <w:rFonts w:hint="eastAsia" w:ascii="仿宋_GB2312" w:hAnsi="仿宋" w:eastAsia="仿宋_GB2312"/>
          <w:sz w:val="28"/>
          <w:szCs w:val="28"/>
          <w:lang w:eastAsia="zh-CN"/>
        </w:rPr>
        <w:t>全额补助</w:t>
      </w:r>
      <w:r>
        <w:rPr>
          <w:rFonts w:hint="eastAsia" w:ascii="仿宋_GB2312" w:hAnsi="仿宋" w:eastAsia="仿宋_GB2312"/>
          <w:sz w:val="28"/>
          <w:szCs w:val="28"/>
        </w:rPr>
        <w:t>事业</w:t>
      </w:r>
      <w:r>
        <w:rPr>
          <w:rFonts w:hint="eastAsia" w:ascii="仿宋_GB2312" w:hAnsi="仿宋" w:eastAsia="仿宋_GB2312"/>
          <w:sz w:val="28"/>
          <w:szCs w:val="28"/>
          <w:lang w:eastAsia="zh-CN"/>
        </w:rPr>
        <w:t>编制</w:t>
      </w:r>
      <w:r>
        <w:rPr>
          <w:rFonts w:hint="eastAsia" w:ascii="仿宋_GB2312" w:hAnsi="仿宋" w:eastAsia="仿宋_GB2312"/>
          <w:sz w:val="28"/>
          <w:szCs w:val="28"/>
          <w:lang w:val="en-US" w:eastAsia="zh-CN"/>
        </w:rPr>
        <w:t>53</w:t>
      </w:r>
      <w:r>
        <w:rPr>
          <w:rFonts w:hint="eastAsia" w:ascii="仿宋_GB2312" w:hAnsi="仿宋" w:eastAsia="仿宋_GB2312"/>
          <w:sz w:val="28"/>
          <w:szCs w:val="28"/>
        </w:rPr>
        <w:t>人；</w:t>
      </w:r>
    </w:p>
    <w:p>
      <w:pPr>
        <w:spacing w:line="560" w:lineRule="exact"/>
        <w:jc w:val="center"/>
        <w:rPr>
          <w:rFonts w:hint="eastAsia" w:ascii="仿宋_GB2312" w:hAnsi="仿宋" w:eastAsia="仿宋_GB2312"/>
          <w:sz w:val="28"/>
          <w:szCs w:val="28"/>
        </w:rPr>
      </w:pP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实有人数</w:t>
      </w:r>
      <w:r>
        <w:rPr>
          <w:rFonts w:hint="eastAsia" w:ascii="仿宋_GB2312" w:hAnsi="仿宋" w:eastAsia="仿宋_GB2312"/>
          <w:sz w:val="28"/>
          <w:szCs w:val="28"/>
          <w:lang w:val="en-US" w:eastAsia="zh-CN"/>
        </w:rPr>
        <w:t>158</w:t>
      </w:r>
      <w:r>
        <w:rPr>
          <w:rFonts w:hint="eastAsia" w:ascii="仿宋_GB2312" w:hAnsi="仿宋" w:eastAsia="仿宋_GB2312"/>
          <w:sz w:val="28"/>
          <w:szCs w:val="28"/>
        </w:rPr>
        <w:t>人：其中</w:t>
      </w:r>
      <w:r>
        <w:rPr>
          <w:rFonts w:hint="eastAsia" w:ascii="仿宋_GB2312" w:hAnsi="仿宋" w:eastAsia="仿宋_GB2312"/>
          <w:sz w:val="28"/>
          <w:szCs w:val="28"/>
          <w:lang w:eastAsia="zh-CN"/>
        </w:rPr>
        <w:t>在职人数</w:t>
      </w:r>
      <w:r>
        <w:rPr>
          <w:rFonts w:hint="eastAsia" w:ascii="仿宋_GB2312" w:hAnsi="仿宋" w:eastAsia="仿宋_GB2312"/>
          <w:sz w:val="28"/>
          <w:szCs w:val="28"/>
          <w:lang w:val="en-US" w:eastAsia="zh-CN"/>
        </w:rPr>
        <w:t>71人（包括</w:t>
      </w:r>
      <w:r>
        <w:rPr>
          <w:rFonts w:hint="eastAsia" w:ascii="仿宋_GB2312" w:hAnsi="仿宋" w:eastAsia="仿宋_GB2312"/>
          <w:sz w:val="28"/>
          <w:szCs w:val="28"/>
        </w:rPr>
        <w:t>行政</w:t>
      </w:r>
      <w:r>
        <w:rPr>
          <w:rFonts w:hint="eastAsia" w:ascii="仿宋_GB2312" w:hAnsi="仿宋" w:eastAsia="仿宋_GB2312"/>
          <w:sz w:val="28"/>
          <w:szCs w:val="28"/>
          <w:lang w:eastAsia="zh-CN"/>
        </w:rPr>
        <w:t>人员</w:t>
      </w:r>
      <w:r>
        <w:rPr>
          <w:rFonts w:hint="eastAsia" w:ascii="仿宋_GB2312" w:hAnsi="仿宋" w:eastAsia="仿宋_GB2312"/>
          <w:sz w:val="28"/>
          <w:szCs w:val="28"/>
          <w:lang w:val="en-US" w:eastAsia="zh-CN"/>
        </w:rPr>
        <w:t>15</w:t>
      </w:r>
      <w:r>
        <w:rPr>
          <w:rFonts w:hint="eastAsia" w:ascii="仿宋_GB2312" w:hAnsi="仿宋" w:eastAsia="仿宋_GB2312"/>
          <w:sz w:val="28"/>
          <w:szCs w:val="28"/>
        </w:rPr>
        <w:t>人、</w:t>
      </w:r>
      <w:r>
        <w:rPr>
          <w:rFonts w:hint="eastAsia" w:ascii="仿宋_GB2312" w:hAnsi="仿宋" w:eastAsia="仿宋_GB2312"/>
          <w:sz w:val="28"/>
          <w:szCs w:val="28"/>
          <w:lang w:eastAsia="zh-CN"/>
        </w:rPr>
        <w:t>全额补助</w:t>
      </w:r>
      <w:r>
        <w:rPr>
          <w:rFonts w:hint="eastAsia" w:ascii="仿宋_GB2312" w:hAnsi="仿宋" w:eastAsia="仿宋_GB2312"/>
          <w:sz w:val="28"/>
          <w:szCs w:val="28"/>
        </w:rPr>
        <w:t>事业</w:t>
      </w:r>
      <w:r>
        <w:rPr>
          <w:rFonts w:hint="eastAsia" w:ascii="仿宋_GB2312" w:hAnsi="仿宋" w:eastAsia="仿宋_GB2312"/>
          <w:sz w:val="28"/>
          <w:szCs w:val="28"/>
          <w:lang w:eastAsia="zh-CN"/>
        </w:rPr>
        <w:t>人员</w:t>
      </w:r>
      <w:r>
        <w:rPr>
          <w:rFonts w:hint="eastAsia" w:ascii="仿宋_GB2312" w:hAnsi="仿宋" w:eastAsia="仿宋_GB2312"/>
          <w:sz w:val="28"/>
          <w:szCs w:val="28"/>
          <w:lang w:val="en-US" w:eastAsia="zh-CN"/>
        </w:rPr>
        <w:t>56</w:t>
      </w:r>
      <w:r>
        <w:rPr>
          <w:rFonts w:hint="eastAsia" w:ascii="仿宋_GB2312" w:hAnsi="仿宋" w:eastAsia="仿宋_GB2312"/>
          <w:sz w:val="28"/>
          <w:szCs w:val="28"/>
        </w:rPr>
        <w:t>人</w:t>
      </w: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退休</w:t>
      </w:r>
      <w:r>
        <w:rPr>
          <w:rFonts w:hint="eastAsia" w:ascii="仿宋_GB2312" w:hAnsi="仿宋" w:eastAsia="仿宋_GB2312"/>
          <w:sz w:val="28"/>
          <w:szCs w:val="28"/>
          <w:lang w:val="en-US" w:eastAsia="zh-CN"/>
        </w:rPr>
        <w:t>87</w:t>
      </w:r>
      <w:r>
        <w:rPr>
          <w:rFonts w:hint="eastAsia" w:ascii="仿宋_GB2312" w:hAnsi="仿宋" w:eastAsia="仿宋_GB2312"/>
          <w:sz w:val="28"/>
          <w:szCs w:val="28"/>
        </w:rPr>
        <w:t>人。</w:t>
      </w:r>
    </w:p>
    <w:p>
      <w:pPr>
        <w:pStyle w:val="2"/>
        <w:ind w:left="31680" w:firstLine="31680"/>
      </w:pPr>
    </w:p>
    <w:p>
      <w:pPr>
        <w:spacing w:line="560" w:lineRule="exact"/>
        <w:jc w:val="center"/>
        <w:rPr>
          <w:rFonts w:hint="eastAsia" w:ascii="黑体" w:hAnsi="黑体" w:eastAsia="黑体" w:cs="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南昌市新建区教育体育局2</w:t>
      </w:r>
      <w:r>
        <w:rPr>
          <w:rFonts w:hint="eastAsia" w:ascii="黑体" w:hAnsi="黑体" w:eastAsia="黑体" w:cs="黑体"/>
          <w:spacing w:val="10"/>
          <w:sz w:val="32"/>
          <w:szCs w:val="32"/>
        </w:rPr>
        <w:t>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w:t>
      </w:r>
      <w:r>
        <w:rPr>
          <w:rFonts w:hint="eastAsia" w:ascii="黑体" w:hAnsi="黑体" w:eastAsia="黑体" w:cs="黑体"/>
          <w:spacing w:val="10"/>
          <w:sz w:val="32"/>
          <w:szCs w:val="32"/>
          <w:lang w:eastAsia="zh-CN"/>
        </w:rPr>
        <w:t>部门</w:t>
      </w:r>
      <w:r>
        <w:rPr>
          <w:rFonts w:hint="eastAsia" w:ascii="黑体" w:hAnsi="黑体" w:eastAsia="黑体" w:cs="黑体"/>
          <w:spacing w:val="10"/>
          <w:sz w:val="32"/>
          <w:szCs w:val="32"/>
        </w:rPr>
        <w:t>预算表</w:t>
      </w:r>
    </w:p>
    <w:p>
      <w:pPr>
        <w:spacing w:line="560" w:lineRule="exact"/>
        <w:ind w:firstLine="680" w:firstLineChars="200"/>
        <w:jc w:val="center"/>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（详见附表）</w:t>
      </w:r>
    </w:p>
    <w:p>
      <w:pPr>
        <w:spacing w:line="560" w:lineRule="exact"/>
        <w:jc w:val="both"/>
        <w:rPr>
          <w:rFonts w:ascii="Times New Roman" w:hAnsi="Times New Roman" w:eastAsia="仿宋_GB2312"/>
          <w:spacing w:val="10"/>
          <w:sz w:val="32"/>
          <w:szCs w:val="32"/>
        </w:rPr>
      </w:pPr>
    </w:p>
    <w:p>
      <w:pPr>
        <w:pStyle w:val="2"/>
        <w:ind w:left="31680" w:firstLine="31680"/>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hint="eastAsia"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南昌市新建区教育体育局</w:t>
      </w:r>
      <w:r>
        <w:rPr>
          <w:rFonts w:hint="eastAsia"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w:t>
      </w:r>
      <w:r>
        <w:rPr>
          <w:rFonts w:hint="eastAsia" w:ascii="黑体" w:hAnsi="黑体" w:eastAsia="黑体" w:cs="黑体"/>
          <w:spacing w:val="10"/>
          <w:sz w:val="32"/>
          <w:szCs w:val="32"/>
          <w:lang w:eastAsia="zh-CN"/>
        </w:rPr>
        <w:t>部门</w:t>
      </w:r>
      <w:r>
        <w:rPr>
          <w:rFonts w:hint="eastAsia" w:ascii="黑体" w:hAnsi="黑体" w:eastAsia="黑体" w:cs="黑体"/>
          <w:spacing w:val="10"/>
          <w:sz w:val="32"/>
          <w:szCs w:val="32"/>
        </w:rPr>
        <w:t>预算情况说明</w:t>
      </w:r>
    </w:p>
    <w:p>
      <w:pPr>
        <w:spacing w:line="560" w:lineRule="exact"/>
        <w:ind w:firstLine="680" w:firstLineChars="200"/>
        <w:jc w:val="center"/>
        <w:rPr>
          <w:rFonts w:ascii="黑体" w:hAnsi="黑体" w:eastAsia="黑体"/>
          <w:spacing w:val="10"/>
          <w:sz w:val="32"/>
          <w:szCs w:val="32"/>
        </w:rPr>
      </w:pPr>
    </w:p>
    <w:p>
      <w:pPr>
        <w:pStyle w:val="2"/>
        <w:ind w:left="31680" w:firstLine="31680"/>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w:t>
      </w:r>
      <w:r>
        <w:rPr>
          <w:rFonts w:ascii="黑体" w:hAnsi="黑体" w:eastAsia="黑体" w:cs="黑体"/>
          <w:spacing w:val="10"/>
          <w:sz w:val="32"/>
          <w:szCs w:val="32"/>
        </w:rPr>
        <w:t>202</w:t>
      </w:r>
      <w:r>
        <w:rPr>
          <w:rFonts w:hint="eastAsia" w:ascii="黑体" w:hAnsi="黑体" w:eastAsia="黑体" w:cs="黑体"/>
          <w:spacing w:val="10"/>
          <w:sz w:val="32"/>
          <w:szCs w:val="32"/>
          <w:lang w:val="en-US" w:eastAsia="zh-CN"/>
        </w:rPr>
        <w:t>3</w:t>
      </w:r>
      <w:r>
        <w:rPr>
          <w:rFonts w:hint="eastAsia" w:ascii="黑体" w:hAnsi="黑体" w:eastAsia="黑体" w:cs="黑体"/>
          <w:spacing w:val="10"/>
          <w:sz w:val="32"/>
          <w:szCs w:val="32"/>
        </w:rPr>
        <w:t>年预算收支情况说明</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（一）收入预算情况</w:t>
      </w:r>
    </w:p>
    <w:p>
      <w:pPr>
        <w:spacing w:line="576" w:lineRule="exact"/>
        <w:ind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rPr>
        <w:t>本</w:t>
      </w:r>
      <w:r>
        <w:rPr>
          <w:rFonts w:hint="eastAsia" w:ascii="仿宋_GB2312" w:hAnsi="仿宋" w:eastAsia="仿宋_GB2312"/>
          <w:sz w:val="28"/>
          <w:szCs w:val="28"/>
          <w:lang w:eastAsia="zh-CN"/>
        </w:rPr>
        <w:t>单位</w:t>
      </w:r>
      <w:r>
        <w:rPr>
          <w:rFonts w:hint="eastAsia" w:ascii="仿宋_GB2312" w:hAnsi="仿宋" w:eastAsia="仿宋_GB2312"/>
          <w:sz w:val="28"/>
          <w:szCs w:val="28"/>
          <w:lang w:val="en-US" w:eastAsia="zh-CN"/>
        </w:rPr>
        <w:t>2023</w:t>
      </w:r>
      <w:r>
        <w:rPr>
          <w:rFonts w:hint="eastAsia" w:ascii="仿宋_GB2312" w:hAnsi="仿宋" w:eastAsia="仿宋_GB2312"/>
          <w:sz w:val="28"/>
          <w:szCs w:val="28"/>
        </w:rPr>
        <w:t>年部门</w:t>
      </w:r>
      <w:r>
        <w:rPr>
          <w:rFonts w:hint="eastAsia" w:ascii="仿宋_GB2312" w:hAnsi="仿宋" w:eastAsia="仿宋_GB2312"/>
          <w:sz w:val="28"/>
          <w:szCs w:val="28"/>
          <w:lang w:eastAsia="zh-CN"/>
        </w:rPr>
        <w:t>收入</w:t>
      </w:r>
      <w:r>
        <w:rPr>
          <w:rFonts w:hint="eastAsia" w:ascii="仿宋_GB2312" w:hAnsi="仿宋" w:eastAsia="仿宋_GB2312"/>
          <w:sz w:val="28"/>
          <w:szCs w:val="28"/>
        </w:rPr>
        <w:t>预算总计</w:t>
      </w:r>
      <w:r>
        <w:rPr>
          <w:rFonts w:hint="eastAsia" w:ascii="仿宋_GB2312" w:hAnsi="仿宋" w:eastAsia="仿宋_GB2312"/>
          <w:sz w:val="28"/>
          <w:szCs w:val="28"/>
          <w:lang w:eastAsia="zh-CN"/>
        </w:rPr>
        <w:t>额为</w:t>
      </w:r>
      <w:r>
        <w:rPr>
          <w:rFonts w:hint="eastAsia" w:ascii="仿宋_GB2312" w:hAnsi="仿宋" w:eastAsia="仿宋_GB2312"/>
          <w:sz w:val="28"/>
          <w:szCs w:val="28"/>
          <w:lang w:val="en-US" w:eastAsia="zh-CN"/>
        </w:rPr>
        <w:t>11436.51</w:t>
      </w:r>
      <w:r>
        <w:rPr>
          <w:rFonts w:hint="eastAsia" w:ascii="仿宋_GB2312" w:hAnsi="仿宋" w:eastAsia="仿宋_GB2312"/>
          <w:sz w:val="28"/>
          <w:szCs w:val="28"/>
        </w:rPr>
        <w:t>万元，较上年预算安排数</w:t>
      </w:r>
      <w:r>
        <w:rPr>
          <w:rFonts w:hint="eastAsia" w:ascii="仿宋_GB2312" w:hAnsi="仿宋" w:eastAsia="仿宋_GB2312"/>
          <w:sz w:val="28"/>
          <w:szCs w:val="28"/>
          <w:lang w:val="en-US" w:eastAsia="zh-CN"/>
        </w:rPr>
        <w:t>12668.48</w:t>
      </w:r>
      <w:r>
        <w:rPr>
          <w:rFonts w:hint="eastAsia" w:ascii="仿宋_GB2312" w:hAnsi="仿宋" w:eastAsia="仿宋_GB2312"/>
          <w:sz w:val="28"/>
          <w:szCs w:val="28"/>
        </w:rPr>
        <w:t>万元</w:t>
      </w:r>
      <w:r>
        <w:rPr>
          <w:rFonts w:hint="eastAsia" w:ascii="仿宋_GB2312" w:hAnsi="仿宋" w:eastAsia="仿宋_GB2312"/>
          <w:sz w:val="28"/>
          <w:szCs w:val="28"/>
          <w:lang w:eastAsia="zh-CN"/>
        </w:rPr>
        <w:t>减少</w:t>
      </w:r>
      <w:r>
        <w:rPr>
          <w:rFonts w:hint="eastAsia" w:ascii="仿宋_GB2312" w:hAnsi="仿宋" w:eastAsia="仿宋_GB2312"/>
          <w:sz w:val="28"/>
          <w:szCs w:val="28"/>
          <w:lang w:val="en-US" w:eastAsia="zh-CN"/>
        </w:rPr>
        <w:t>1231.97</w:t>
      </w:r>
      <w:r>
        <w:rPr>
          <w:rFonts w:hint="eastAsia" w:ascii="仿宋_GB2312" w:hAnsi="仿宋" w:eastAsia="仿宋_GB2312"/>
          <w:sz w:val="28"/>
          <w:szCs w:val="28"/>
        </w:rPr>
        <w:t>万元</w:t>
      </w:r>
      <w:r>
        <w:rPr>
          <w:rFonts w:hint="eastAsia" w:ascii="仿宋_GB2312" w:hAnsi="仿宋" w:eastAsia="仿宋_GB2312"/>
          <w:sz w:val="28"/>
          <w:szCs w:val="28"/>
          <w:lang w:eastAsia="zh-CN"/>
        </w:rPr>
        <w:t>，下降</w:t>
      </w:r>
      <w:r>
        <w:rPr>
          <w:rFonts w:hint="eastAsia" w:ascii="仿宋_GB2312" w:hAnsi="仿宋" w:eastAsia="仿宋_GB2312"/>
          <w:sz w:val="28"/>
          <w:szCs w:val="28"/>
          <w:lang w:val="en-US" w:eastAsia="zh-CN"/>
        </w:rPr>
        <w:t>9.72%。</w:t>
      </w:r>
    </w:p>
    <w:p>
      <w:pPr>
        <w:spacing w:line="576" w:lineRule="exact"/>
        <w:ind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rPr>
        <w:t>其中：财政拨款</w:t>
      </w:r>
      <w:r>
        <w:rPr>
          <w:rFonts w:hint="eastAsia" w:ascii="仿宋_GB2312" w:hAnsi="仿宋" w:eastAsia="仿宋_GB2312"/>
          <w:sz w:val="28"/>
          <w:szCs w:val="28"/>
          <w:lang w:eastAsia="zh-CN"/>
        </w:rPr>
        <w:t>收入</w:t>
      </w:r>
      <w:r>
        <w:rPr>
          <w:rFonts w:hint="eastAsia" w:ascii="仿宋_GB2312" w:hAnsi="仿宋" w:eastAsia="仿宋_GB2312"/>
          <w:sz w:val="28"/>
          <w:szCs w:val="28"/>
          <w:lang w:val="en-US" w:eastAsia="zh-CN"/>
        </w:rPr>
        <w:t>4076.51</w:t>
      </w:r>
      <w:r>
        <w:rPr>
          <w:rFonts w:hint="eastAsia" w:ascii="仿宋_GB2312" w:hAnsi="仿宋" w:eastAsia="仿宋_GB2312"/>
          <w:sz w:val="28"/>
          <w:szCs w:val="28"/>
        </w:rPr>
        <w:t>万元，</w:t>
      </w:r>
      <w:r>
        <w:rPr>
          <w:rFonts w:hint="eastAsia" w:ascii="仿宋_GB2312" w:hAnsi="仿宋" w:eastAsia="仿宋_GB2312"/>
          <w:sz w:val="28"/>
          <w:szCs w:val="28"/>
          <w:lang w:val="en-US" w:eastAsia="zh-CN"/>
        </w:rPr>
        <w:t>上级补助收入6060万元，</w:t>
      </w:r>
      <w:r>
        <w:rPr>
          <w:rFonts w:hint="eastAsia" w:ascii="仿宋_GB2312" w:hAnsi="仿宋" w:eastAsia="仿宋_GB2312"/>
          <w:sz w:val="28"/>
          <w:szCs w:val="28"/>
          <w:lang w:eastAsia="zh-CN"/>
        </w:rPr>
        <w:t>其他收入</w:t>
      </w:r>
      <w:r>
        <w:rPr>
          <w:rFonts w:hint="eastAsia" w:ascii="仿宋_GB2312" w:hAnsi="仿宋" w:eastAsia="仿宋_GB2312"/>
          <w:sz w:val="28"/>
          <w:szCs w:val="28"/>
          <w:lang w:val="en-US" w:eastAsia="zh-CN"/>
        </w:rPr>
        <w:t>1300万元</w:t>
      </w:r>
      <w:r>
        <w:rPr>
          <w:rFonts w:hint="eastAsia" w:ascii="仿宋_GB2312" w:hAnsi="仿宋" w:eastAsia="仿宋_GB2312"/>
          <w:sz w:val="28"/>
          <w:szCs w:val="28"/>
        </w:rPr>
        <w:t>。</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（二）支出预算情况</w:t>
      </w:r>
    </w:p>
    <w:p>
      <w:pPr>
        <w:spacing w:line="576" w:lineRule="exact"/>
        <w:ind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rPr>
        <w:t>本</w:t>
      </w:r>
      <w:r>
        <w:rPr>
          <w:rFonts w:hint="eastAsia" w:ascii="仿宋_GB2312" w:hAnsi="仿宋" w:eastAsia="仿宋_GB2312"/>
          <w:sz w:val="28"/>
          <w:szCs w:val="28"/>
          <w:lang w:eastAsia="zh-CN"/>
        </w:rPr>
        <w:t>单位</w:t>
      </w:r>
      <w:r>
        <w:rPr>
          <w:rFonts w:hint="eastAsia" w:ascii="仿宋_GB2312" w:hAnsi="仿宋" w:eastAsia="仿宋_GB2312"/>
          <w:sz w:val="28"/>
          <w:szCs w:val="28"/>
        </w:rPr>
        <w:t>2</w:t>
      </w:r>
      <w:r>
        <w:rPr>
          <w:rFonts w:hint="eastAsia" w:ascii="仿宋_GB2312" w:hAnsi="仿宋" w:eastAsia="仿宋_GB2312"/>
          <w:sz w:val="28"/>
          <w:szCs w:val="28"/>
          <w:lang w:val="en-US" w:eastAsia="zh-CN"/>
        </w:rPr>
        <w:t>023</w:t>
      </w:r>
      <w:r>
        <w:rPr>
          <w:rFonts w:hint="eastAsia" w:ascii="仿宋_GB2312" w:hAnsi="仿宋" w:eastAsia="仿宋_GB2312"/>
          <w:sz w:val="28"/>
          <w:szCs w:val="28"/>
        </w:rPr>
        <w:t>年支出预算总</w:t>
      </w:r>
      <w:r>
        <w:rPr>
          <w:rFonts w:hint="eastAsia" w:ascii="仿宋_GB2312" w:hAnsi="仿宋" w:eastAsia="仿宋_GB2312"/>
          <w:sz w:val="28"/>
          <w:szCs w:val="28"/>
          <w:lang w:eastAsia="zh-CN"/>
        </w:rPr>
        <w:t>额为</w:t>
      </w:r>
      <w:r>
        <w:rPr>
          <w:rFonts w:hint="eastAsia" w:ascii="仿宋_GB2312" w:hAnsi="仿宋" w:eastAsia="仿宋_GB2312"/>
          <w:sz w:val="28"/>
          <w:szCs w:val="28"/>
          <w:lang w:val="en-US" w:eastAsia="zh-CN"/>
        </w:rPr>
        <w:t>11436.51</w:t>
      </w:r>
      <w:r>
        <w:rPr>
          <w:rFonts w:hint="eastAsia" w:ascii="仿宋_GB2312" w:hAnsi="仿宋" w:eastAsia="仿宋_GB2312"/>
          <w:sz w:val="28"/>
          <w:szCs w:val="28"/>
        </w:rPr>
        <w:t>万元，较上年预算安排数</w:t>
      </w:r>
      <w:r>
        <w:rPr>
          <w:rFonts w:hint="eastAsia" w:ascii="仿宋_GB2312" w:hAnsi="仿宋" w:eastAsia="仿宋_GB2312"/>
          <w:sz w:val="28"/>
          <w:szCs w:val="28"/>
          <w:lang w:val="en-US" w:eastAsia="zh-CN"/>
        </w:rPr>
        <w:t>12668.48</w:t>
      </w:r>
      <w:r>
        <w:rPr>
          <w:rFonts w:hint="eastAsia" w:ascii="仿宋_GB2312" w:hAnsi="仿宋" w:eastAsia="仿宋_GB2312"/>
          <w:sz w:val="28"/>
          <w:szCs w:val="28"/>
        </w:rPr>
        <w:t>万元</w:t>
      </w:r>
      <w:r>
        <w:rPr>
          <w:rFonts w:hint="eastAsia" w:ascii="仿宋_GB2312" w:hAnsi="仿宋" w:eastAsia="仿宋_GB2312"/>
          <w:sz w:val="28"/>
          <w:szCs w:val="28"/>
          <w:lang w:eastAsia="zh-CN"/>
        </w:rPr>
        <w:t>减少</w:t>
      </w:r>
      <w:r>
        <w:rPr>
          <w:rFonts w:hint="eastAsia" w:ascii="仿宋_GB2312" w:hAnsi="仿宋" w:eastAsia="仿宋_GB2312"/>
          <w:sz w:val="28"/>
          <w:szCs w:val="28"/>
          <w:lang w:val="en-US" w:eastAsia="zh-CN"/>
        </w:rPr>
        <w:t>1231.97</w:t>
      </w:r>
      <w:r>
        <w:rPr>
          <w:rFonts w:hint="eastAsia" w:ascii="仿宋_GB2312" w:hAnsi="仿宋" w:eastAsia="仿宋_GB2312"/>
          <w:sz w:val="28"/>
          <w:szCs w:val="28"/>
        </w:rPr>
        <w:t>万元</w:t>
      </w:r>
      <w:r>
        <w:rPr>
          <w:rFonts w:hint="eastAsia" w:ascii="仿宋_GB2312" w:hAnsi="仿宋" w:eastAsia="仿宋_GB2312"/>
          <w:sz w:val="28"/>
          <w:szCs w:val="28"/>
          <w:lang w:eastAsia="zh-CN"/>
        </w:rPr>
        <w:t>，下降</w:t>
      </w:r>
      <w:r>
        <w:rPr>
          <w:rFonts w:hint="eastAsia" w:ascii="仿宋_GB2312" w:hAnsi="仿宋" w:eastAsia="仿宋_GB2312"/>
          <w:sz w:val="28"/>
          <w:szCs w:val="28"/>
          <w:lang w:val="en-US" w:eastAsia="zh-CN"/>
        </w:rPr>
        <w:t>9.72%。</w:t>
      </w:r>
    </w:p>
    <w:p>
      <w:pPr>
        <w:spacing w:line="576" w:lineRule="exact"/>
        <w:ind w:firstLine="560" w:firstLineChars="200"/>
        <w:jc w:val="left"/>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其中：按支出项目类别划分：</w:t>
      </w:r>
      <w:r>
        <w:rPr>
          <w:rFonts w:hint="eastAsia" w:ascii="仿宋_GB2312" w:hAnsi="仿宋" w:eastAsia="仿宋_GB2312"/>
          <w:sz w:val="28"/>
          <w:szCs w:val="28"/>
          <w:lang w:eastAsia="zh-CN"/>
        </w:rPr>
        <w:t>基本支出</w:t>
      </w:r>
      <w:r>
        <w:rPr>
          <w:rFonts w:hint="eastAsia" w:ascii="仿宋_GB2312" w:hAnsi="仿宋" w:eastAsia="仿宋_GB2312"/>
          <w:sz w:val="28"/>
          <w:szCs w:val="28"/>
          <w:lang w:val="en-US" w:eastAsia="zh-CN"/>
        </w:rPr>
        <w:t>1687.35万元，</w:t>
      </w:r>
      <w:r>
        <w:rPr>
          <w:rFonts w:hint="eastAsia" w:ascii="仿宋_GB2312" w:hAnsi="仿宋" w:eastAsia="仿宋_GB2312"/>
          <w:sz w:val="28"/>
          <w:szCs w:val="28"/>
          <w:lang w:eastAsia="zh-CN"/>
        </w:rPr>
        <w:t>占支出预算总额的</w:t>
      </w:r>
      <w:r>
        <w:rPr>
          <w:rFonts w:hint="eastAsia" w:ascii="仿宋_GB2312" w:hAnsi="仿宋" w:eastAsia="仿宋_GB2312"/>
          <w:sz w:val="28"/>
          <w:szCs w:val="28"/>
          <w:lang w:val="en-US" w:eastAsia="zh-CN"/>
        </w:rPr>
        <w:t>14.75%；</w:t>
      </w:r>
      <w:r>
        <w:rPr>
          <w:rFonts w:hint="eastAsia" w:ascii="仿宋_GB2312" w:hAnsi="仿宋" w:eastAsia="仿宋_GB2312"/>
          <w:sz w:val="28"/>
          <w:szCs w:val="28"/>
          <w:lang w:eastAsia="zh-CN"/>
        </w:rPr>
        <w:t>包括</w:t>
      </w:r>
      <w:r>
        <w:rPr>
          <w:rFonts w:hint="eastAsia" w:ascii="仿宋_GB2312" w:hAnsi="仿宋" w:eastAsia="仿宋_GB2312"/>
          <w:sz w:val="28"/>
          <w:szCs w:val="28"/>
        </w:rPr>
        <w:t>工资福利支出</w:t>
      </w:r>
      <w:r>
        <w:rPr>
          <w:rFonts w:hint="eastAsia" w:ascii="仿宋_GB2312" w:hAnsi="仿宋" w:eastAsia="仿宋_GB2312"/>
          <w:sz w:val="28"/>
          <w:szCs w:val="28"/>
          <w:lang w:val="en-US" w:eastAsia="zh-CN"/>
        </w:rPr>
        <w:t>1231.32</w:t>
      </w:r>
      <w:r>
        <w:rPr>
          <w:rFonts w:hint="eastAsia" w:ascii="仿宋_GB2312" w:hAnsi="仿宋" w:eastAsia="仿宋_GB2312"/>
          <w:sz w:val="28"/>
          <w:szCs w:val="28"/>
        </w:rPr>
        <w:t>万元，对个人和家庭补助支出</w:t>
      </w:r>
      <w:r>
        <w:rPr>
          <w:rFonts w:hint="eastAsia" w:ascii="仿宋_GB2312" w:hAnsi="仿宋" w:eastAsia="仿宋_GB2312"/>
          <w:sz w:val="28"/>
          <w:szCs w:val="28"/>
          <w:lang w:val="en-US" w:eastAsia="zh-CN"/>
        </w:rPr>
        <w:t>326.91</w:t>
      </w:r>
      <w:r>
        <w:rPr>
          <w:rFonts w:hint="eastAsia" w:ascii="仿宋_GB2312" w:hAnsi="仿宋" w:eastAsia="仿宋_GB2312"/>
          <w:sz w:val="28"/>
          <w:szCs w:val="28"/>
        </w:rPr>
        <w:t>万元，</w:t>
      </w:r>
      <w:r>
        <w:rPr>
          <w:rFonts w:hint="eastAsia" w:ascii="仿宋_GB2312" w:hAnsi="仿宋" w:eastAsia="仿宋_GB2312"/>
          <w:sz w:val="28"/>
          <w:szCs w:val="28"/>
          <w:lang w:eastAsia="zh-CN"/>
        </w:rPr>
        <w:t>商品和服务</w:t>
      </w:r>
      <w:r>
        <w:rPr>
          <w:rFonts w:hint="eastAsia" w:ascii="仿宋_GB2312" w:hAnsi="仿宋" w:eastAsia="仿宋_GB2312"/>
          <w:sz w:val="28"/>
          <w:szCs w:val="28"/>
        </w:rPr>
        <w:t>支出</w:t>
      </w:r>
      <w:r>
        <w:rPr>
          <w:rFonts w:hint="eastAsia" w:ascii="仿宋_GB2312" w:hAnsi="仿宋" w:eastAsia="仿宋_GB2312"/>
          <w:sz w:val="28"/>
          <w:szCs w:val="28"/>
          <w:lang w:val="en-US" w:eastAsia="zh-CN"/>
        </w:rPr>
        <w:t>129.12</w:t>
      </w:r>
      <w:r>
        <w:rPr>
          <w:rFonts w:hint="eastAsia" w:ascii="仿宋_GB2312" w:hAnsi="仿宋" w:eastAsia="仿宋_GB2312"/>
          <w:sz w:val="28"/>
          <w:szCs w:val="28"/>
        </w:rPr>
        <w:t>万元。</w:t>
      </w:r>
      <w:r>
        <w:rPr>
          <w:rFonts w:hint="eastAsia" w:ascii="仿宋_GB2312" w:hAnsi="仿宋" w:eastAsia="仿宋_GB2312"/>
          <w:sz w:val="28"/>
          <w:szCs w:val="28"/>
          <w:lang w:eastAsia="zh-CN"/>
        </w:rPr>
        <w:t>项目支出</w:t>
      </w:r>
      <w:r>
        <w:rPr>
          <w:rFonts w:hint="eastAsia" w:ascii="仿宋_GB2312" w:hAnsi="仿宋" w:eastAsia="仿宋_GB2312"/>
          <w:sz w:val="28"/>
          <w:szCs w:val="28"/>
          <w:lang w:val="en-US" w:eastAsia="zh-CN"/>
        </w:rPr>
        <w:t>9749.16万元，</w:t>
      </w:r>
      <w:r>
        <w:rPr>
          <w:rFonts w:hint="eastAsia" w:ascii="仿宋_GB2312" w:hAnsi="仿宋" w:eastAsia="仿宋_GB2312"/>
          <w:sz w:val="28"/>
          <w:szCs w:val="28"/>
          <w:lang w:eastAsia="zh-CN"/>
        </w:rPr>
        <w:t>占支出预算总额的</w:t>
      </w:r>
      <w:r>
        <w:rPr>
          <w:rFonts w:hint="eastAsia" w:ascii="仿宋_GB2312" w:hAnsi="仿宋" w:eastAsia="仿宋_GB2312"/>
          <w:sz w:val="28"/>
          <w:szCs w:val="28"/>
          <w:lang w:val="en-US" w:eastAsia="zh-CN"/>
        </w:rPr>
        <w:t>85.25%；，包括</w:t>
      </w:r>
      <w:r>
        <w:rPr>
          <w:rFonts w:hint="eastAsia" w:ascii="仿宋_GB2312" w:hAnsi="仿宋" w:eastAsia="仿宋_GB2312"/>
          <w:sz w:val="28"/>
          <w:szCs w:val="28"/>
        </w:rPr>
        <w:t>工资福利支出</w:t>
      </w:r>
      <w:r>
        <w:rPr>
          <w:rFonts w:hint="eastAsia" w:ascii="仿宋_GB2312" w:hAnsi="仿宋" w:eastAsia="仿宋_GB2312"/>
          <w:sz w:val="28"/>
          <w:szCs w:val="28"/>
          <w:lang w:val="en-US" w:eastAsia="zh-CN"/>
        </w:rPr>
        <w:t>672.36</w:t>
      </w:r>
      <w:r>
        <w:rPr>
          <w:rFonts w:hint="eastAsia" w:ascii="仿宋_GB2312" w:hAnsi="仿宋" w:eastAsia="仿宋_GB2312"/>
          <w:sz w:val="28"/>
          <w:szCs w:val="28"/>
        </w:rPr>
        <w:t>万元，对个人和家庭补助支出</w:t>
      </w:r>
      <w:r>
        <w:rPr>
          <w:rFonts w:hint="eastAsia" w:ascii="仿宋_GB2312" w:hAnsi="仿宋" w:eastAsia="仿宋_GB2312"/>
          <w:sz w:val="28"/>
          <w:szCs w:val="28"/>
          <w:lang w:val="en-US" w:eastAsia="zh-CN"/>
        </w:rPr>
        <w:t>80</w:t>
      </w:r>
      <w:r>
        <w:rPr>
          <w:rFonts w:hint="eastAsia" w:ascii="仿宋_GB2312" w:hAnsi="仿宋" w:eastAsia="仿宋_GB2312"/>
          <w:sz w:val="28"/>
          <w:szCs w:val="28"/>
        </w:rPr>
        <w:t>万元，</w:t>
      </w:r>
      <w:r>
        <w:rPr>
          <w:rFonts w:hint="eastAsia" w:ascii="仿宋_GB2312" w:hAnsi="仿宋" w:eastAsia="仿宋_GB2312"/>
          <w:sz w:val="28"/>
          <w:szCs w:val="28"/>
          <w:lang w:eastAsia="zh-CN"/>
        </w:rPr>
        <w:t>商品和服务</w:t>
      </w:r>
      <w:r>
        <w:rPr>
          <w:rFonts w:hint="eastAsia" w:ascii="仿宋_GB2312" w:hAnsi="仿宋" w:eastAsia="仿宋_GB2312"/>
          <w:sz w:val="28"/>
          <w:szCs w:val="28"/>
        </w:rPr>
        <w:t>支出</w:t>
      </w:r>
      <w:r>
        <w:rPr>
          <w:rFonts w:hint="eastAsia" w:ascii="仿宋_GB2312" w:hAnsi="仿宋" w:eastAsia="仿宋_GB2312"/>
          <w:sz w:val="28"/>
          <w:szCs w:val="28"/>
          <w:lang w:val="en-US" w:eastAsia="zh-CN"/>
        </w:rPr>
        <w:t>2537.7</w:t>
      </w:r>
      <w:r>
        <w:rPr>
          <w:rFonts w:hint="eastAsia" w:ascii="仿宋_GB2312" w:hAnsi="仿宋" w:eastAsia="仿宋_GB2312"/>
          <w:sz w:val="28"/>
          <w:szCs w:val="28"/>
        </w:rPr>
        <w:t>万元</w:t>
      </w:r>
      <w:r>
        <w:rPr>
          <w:rFonts w:hint="eastAsia" w:ascii="仿宋_GB2312" w:hAnsi="仿宋" w:eastAsia="仿宋_GB2312"/>
          <w:sz w:val="28"/>
          <w:szCs w:val="28"/>
          <w:lang w:val="en-US" w:eastAsia="zh-CN"/>
        </w:rPr>
        <w:t>,资本性支出6459.1万元。</w:t>
      </w:r>
    </w:p>
    <w:p>
      <w:pPr>
        <w:spacing w:line="576" w:lineRule="exact"/>
        <w:ind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lang w:eastAsia="zh-CN"/>
        </w:rPr>
        <w:t>按支出功能科目划分：教育支出</w:t>
      </w:r>
      <w:r>
        <w:rPr>
          <w:rFonts w:hint="eastAsia" w:ascii="仿宋_GB2312" w:hAnsi="仿宋" w:eastAsia="仿宋_GB2312"/>
          <w:sz w:val="28"/>
          <w:szCs w:val="28"/>
          <w:lang w:val="en-US" w:eastAsia="zh-CN"/>
        </w:rPr>
        <w:t>10841.36万元，文化旅游体育与传媒支出255万，社会保障与就业支出141.09万元，卫生健康支出92.33万元，住房保障支出106.72万元。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（三）财政拨款支出情况</w:t>
      </w:r>
    </w:p>
    <w:p>
      <w:pPr>
        <w:spacing w:line="576" w:lineRule="exact"/>
        <w:ind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rPr>
        <w:t>本</w:t>
      </w:r>
      <w:r>
        <w:rPr>
          <w:rFonts w:hint="eastAsia" w:ascii="仿宋_GB2312" w:hAnsi="仿宋" w:eastAsia="仿宋_GB2312"/>
          <w:sz w:val="28"/>
          <w:szCs w:val="28"/>
          <w:lang w:eastAsia="zh-CN"/>
        </w:rPr>
        <w:t>单位</w:t>
      </w:r>
      <w:r>
        <w:rPr>
          <w:rFonts w:hint="eastAsia" w:ascii="仿宋_GB2312" w:hAnsi="仿宋" w:eastAsia="仿宋_GB2312"/>
          <w:sz w:val="28"/>
          <w:szCs w:val="28"/>
        </w:rPr>
        <w:t>20</w:t>
      </w:r>
      <w:r>
        <w:rPr>
          <w:rFonts w:hint="eastAsia" w:ascii="仿宋_GB2312" w:hAnsi="仿宋" w:eastAsia="仿宋_GB2312"/>
          <w:sz w:val="28"/>
          <w:szCs w:val="28"/>
          <w:lang w:val="en-US" w:eastAsia="zh-CN"/>
        </w:rPr>
        <w:t>23</w:t>
      </w:r>
      <w:r>
        <w:rPr>
          <w:rFonts w:hint="eastAsia" w:ascii="仿宋_GB2312" w:hAnsi="仿宋" w:eastAsia="仿宋_GB2312"/>
          <w:sz w:val="28"/>
          <w:szCs w:val="28"/>
        </w:rPr>
        <w:t>年度财政拨款支出预算数为</w:t>
      </w:r>
      <w:r>
        <w:rPr>
          <w:rFonts w:hint="eastAsia" w:ascii="仿宋_GB2312" w:hAnsi="仿宋" w:eastAsia="仿宋_GB2312"/>
          <w:sz w:val="28"/>
          <w:szCs w:val="28"/>
          <w:lang w:val="en-US" w:eastAsia="zh-CN"/>
        </w:rPr>
        <w:t>4076.51</w:t>
      </w:r>
      <w:r>
        <w:rPr>
          <w:rFonts w:hint="eastAsia" w:ascii="仿宋_GB2312" w:hAnsi="仿宋" w:eastAsia="仿宋_GB2312"/>
          <w:sz w:val="28"/>
          <w:szCs w:val="28"/>
        </w:rPr>
        <w:t>万元，较上年预算安排数</w:t>
      </w:r>
      <w:r>
        <w:rPr>
          <w:rFonts w:hint="eastAsia" w:ascii="仿宋_GB2312" w:hAnsi="仿宋" w:eastAsia="仿宋_GB2312"/>
          <w:sz w:val="28"/>
          <w:szCs w:val="28"/>
          <w:lang w:val="en-US" w:eastAsia="zh-CN"/>
        </w:rPr>
        <w:t>3870.82</w:t>
      </w:r>
      <w:r>
        <w:rPr>
          <w:rFonts w:hint="eastAsia" w:ascii="仿宋_GB2312" w:hAnsi="仿宋" w:eastAsia="仿宋_GB2312"/>
          <w:sz w:val="28"/>
          <w:szCs w:val="28"/>
        </w:rPr>
        <w:t>万元</w:t>
      </w:r>
      <w:r>
        <w:rPr>
          <w:rFonts w:hint="eastAsia" w:ascii="仿宋_GB2312" w:hAnsi="仿宋" w:eastAsia="仿宋_GB2312"/>
          <w:sz w:val="28"/>
          <w:szCs w:val="28"/>
          <w:lang w:eastAsia="zh-CN"/>
        </w:rPr>
        <w:t>增加</w:t>
      </w:r>
      <w:r>
        <w:rPr>
          <w:rFonts w:hint="eastAsia" w:ascii="仿宋_GB2312" w:hAnsi="仿宋" w:eastAsia="仿宋_GB2312"/>
          <w:sz w:val="28"/>
          <w:szCs w:val="28"/>
          <w:lang w:val="en-US" w:eastAsia="zh-CN"/>
        </w:rPr>
        <w:t>205.69</w:t>
      </w:r>
      <w:r>
        <w:rPr>
          <w:rFonts w:hint="eastAsia" w:ascii="仿宋_GB2312" w:hAnsi="仿宋" w:eastAsia="仿宋_GB2312"/>
          <w:sz w:val="28"/>
          <w:szCs w:val="28"/>
        </w:rPr>
        <w:t>万元</w:t>
      </w:r>
      <w:r>
        <w:rPr>
          <w:rFonts w:hint="eastAsia" w:ascii="仿宋_GB2312" w:hAnsi="仿宋" w:eastAsia="仿宋_GB2312"/>
          <w:sz w:val="28"/>
          <w:szCs w:val="28"/>
          <w:lang w:eastAsia="zh-CN"/>
        </w:rPr>
        <w:t>，增长</w:t>
      </w:r>
      <w:r>
        <w:rPr>
          <w:rFonts w:hint="eastAsia" w:ascii="仿宋_GB2312" w:hAnsi="仿宋" w:eastAsia="仿宋_GB2312"/>
          <w:sz w:val="28"/>
          <w:szCs w:val="28"/>
          <w:lang w:val="en-US" w:eastAsia="zh-CN"/>
        </w:rPr>
        <w:t>5.31%。</w:t>
      </w:r>
    </w:p>
    <w:p>
      <w:pPr>
        <w:spacing w:line="576" w:lineRule="exact"/>
        <w:ind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lang w:eastAsia="zh-CN"/>
        </w:rPr>
        <w:t>具体支出情况是：教育支出</w:t>
      </w:r>
      <w:r>
        <w:rPr>
          <w:rFonts w:hint="eastAsia" w:ascii="仿宋_GB2312" w:hAnsi="仿宋" w:eastAsia="仿宋_GB2312"/>
          <w:sz w:val="28"/>
          <w:szCs w:val="28"/>
          <w:lang w:val="en-US" w:eastAsia="zh-CN"/>
        </w:rPr>
        <w:t>3481.36元，占财政拨款支出的85.4%；文化旅游体育与传媒支出255万，占财政拨款支出的6.26%；社会保障与就业支出141.09万元，占财政拨款支出的3.46%；卫生健康支出92.33万元，占财政拨款支出的2.26%；住房保障支出106.72万元，占财政拨款支出的2.62%。</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（四）政府性基金情况</w:t>
      </w:r>
    </w:p>
    <w:p>
      <w:pPr>
        <w:spacing w:line="560" w:lineRule="exact"/>
        <w:ind w:firstLine="1020" w:firstLineChars="300"/>
        <w:rPr>
          <w:rFonts w:hint="eastAsia" w:ascii="Times New Roman" w:hAnsi="Times New Roman" w:eastAsia="仿宋_GB2312"/>
          <w:spacing w:val="10"/>
          <w:sz w:val="32"/>
          <w:szCs w:val="32"/>
          <w:lang w:eastAsia="zh-CN"/>
        </w:rPr>
      </w:pPr>
      <w:r>
        <w:rPr>
          <w:rFonts w:hint="eastAsia" w:ascii="Times New Roman" w:hAnsi="Times New Roman" w:eastAsia="仿宋_GB2312"/>
          <w:spacing w:val="10"/>
          <w:sz w:val="32"/>
          <w:szCs w:val="32"/>
          <w:lang w:eastAsia="zh-CN"/>
        </w:rPr>
        <w:t>没有使用政府性基金预算拨款安排的支出。</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（五）国有资本经营情况</w:t>
      </w:r>
    </w:p>
    <w:p>
      <w:pPr>
        <w:spacing w:line="560" w:lineRule="exact"/>
        <w:ind w:firstLine="1020" w:firstLineChars="300"/>
        <w:rPr>
          <w:rFonts w:hint="eastAsia" w:ascii="Times New Roman" w:hAnsi="Times New Roman" w:eastAsia="仿宋_GB2312"/>
          <w:spacing w:val="10"/>
          <w:sz w:val="32"/>
          <w:szCs w:val="32"/>
          <w:lang w:eastAsia="zh-CN"/>
        </w:rPr>
      </w:pPr>
      <w:r>
        <w:rPr>
          <w:rFonts w:hint="eastAsia" w:ascii="Times New Roman" w:hAnsi="Times New Roman" w:eastAsia="仿宋_GB2312"/>
          <w:spacing w:val="10"/>
          <w:sz w:val="32"/>
          <w:szCs w:val="32"/>
          <w:lang w:eastAsia="zh-CN"/>
        </w:rPr>
        <w:t>没有使用国有资本经营预算拨款安排的支出。</w:t>
      </w:r>
    </w:p>
    <w:p>
      <w:pPr>
        <w:spacing w:line="560" w:lineRule="exact"/>
        <w:ind w:firstLine="680" w:firstLineChars="200"/>
        <w:rPr>
          <w:rFonts w:hint="eastAsia" w:ascii="楷体_GB2312" w:hAnsi="楷体_GB2312" w:eastAsia="楷体_GB2312" w:cs="楷体_GB2312"/>
          <w:spacing w:val="10"/>
          <w:sz w:val="32"/>
          <w:szCs w:val="32"/>
        </w:rPr>
      </w:pPr>
      <w:r>
        <w:rPr>
          <w:rFonts w:hint="eastAsia" w:ascii="楷体_GB2312" w:hAnsi="楷体_GB2312" w:eastAsia="楷体_GB2312" w:cs="楷体_GB2312"/>
          <w:spacing w:val="10"/>
          <w:sz w:val="32"/>
          <w:szCs w:val="32"/>
        </w:rPr>
        <w:t>（六）机关运行经费等重要事项的说明</w:t>
      </w:r>
    </w:p>
    <w:p>
      <w:pPr>
        <w:spacing w:line="576" w:lineRule="exact"/>
        <w:ind w:firstLine="560" w:firstLineChars="200"/>
        <w:jc w:val="left"/>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2023年机关运行费预算345万元。比2022年预算345万元减少0万元。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（七）政府采购情况</w:t>
      </w:r>
      <w:bookmarkStart w:id="0" w:name="_GoBack"/>
      <w:bookmarkEnd w:id="0"/>
    </w:p>
    <w:p>
      <w:pPr>
        <w:spacing w:line="560" w:lineRule="exact"/>
        <w:ind w:firstLine="680" w:firstLineChars="200"/>
        <w:rPr>
          <w:rFonts w:hint="eastAsia" w:ascii="仿宋_GB2312" w:hAnsi="仿宋" w:eastAsia="仿宋_GB2312"/>
          <w:sz w:val="28"/>
          <w:szCs w:val="28"/>
          <w:lang w:val="en-US" w:eastAsia="zh-CN"/>
        </w:rPr>
      </w:pPr>
      <w:r>
        <w:rPr>
          <w:rFonts w:ascii="Times New Roman" w:hAnsi="Times New Roman" w:eastAsia="仿宋_GB2312" w:cs="Times New Roman"/>
          <w:spacing w:val="10"/>
          <w:sz w:val="32"/>
          <w:szCs w:val="32"/>
        </w:rPr>
        <w:t>2</w:t>
      </w:r>
      <w:r>
        <w:rPr>
          <w:rFonts w:hint="eastAsia" w:ascii="仿宋_GB2312" w:hAnsi="仿宋" w:eastAsia="仿宋_GB2312"/>
          <w:sz w:val="28"/>
          <w:szCs w:val="28"/>
          <w:lang w:val="en-US" w:eastAsia="zh-CN"/>
        </w:rPr>
        <w:t>023年本单位政府采购总额 6868.54  万元，其中：政府采购货物预算 6548.74 万元、政府采购工程预算   0   万元、 政府采购服务预算 319.8  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（八）国有资产占有使用情况</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截至2022年8月31日，本单位共有车辆   7  辆，其中，一般公务用车  7    辆，执法执勤用车 0   辆。</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2023年单位预算安排购置车辆   0   辆，未安排购置单位价 值200万元以上大型设备.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（九）项目绩效情况</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新建区教育云平台运行维护项目情况说明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“新建教育云平台”运行维护经费，该项目于2016年5月经区政府研究决定，2017年执行。</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年初预算安排资金231.4万元。</w:t>
      </w:r>
    </w:p>
    <w:p>
      <w:pPr>
        <w:numPr>
          <w:ilvl w:val="0"/>
          <w:numId w:val="1"/>
        </w:num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绩效目标和指标</w:t>
      </w:r>
    </w:p>
    <w:p>
      <w:pPr>
        <w:numPr>
          <w:numId w:val="0"/>
        </w:num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绩效目标：1、促进教育公平、提高教育质量的有效手段；2、促进教学模式的变革教；3、创造泛在学习环境、构建学习型社会的必由之路。</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产出指标：1、数量指标：覆盖学校数量（个）=95个；2、质量指标：处置回复率=100%；3、时效指标：故障响应及时性=100%；4、成本指标：成本节约率</w:t>
      </w:r>
      <w:r>
        <w:rPr>
          <w:rFonts w:hint="default" w:ascii="Arial" w:hAnsi="Arial" w:eastAsia="仿宋_GB2312" w:cs="Arial"/>
          <w:sz w:val="28"/>
          <w:szCs w:val="28"/>
          <w:lang w:val="en-US" w:eastAsia="zh-CN"/>
        </w:rPr>
        <w:t>≥</w:t>
      </w:r>
      <w:r>
        <w:rPr>
          <w:rFonts w:hint="eastAsia" w:ascii="仿宋_GB2312" w:hAnsi="仿宋" w:eastAsia="仿宋_GB2312"/>
          <w:sz w:val="28"/>
          <w:szCs w:val="28"/>
          <w:lang w:val="en-US" w:eastAsia="zh-CN"/>
        </w:rPr>
        <w:t>5%。</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效益指标：社会效益指标：提升教学质量，促进教育公平=100%。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满意度指标：师生满意度（%）</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95%。</w:t>
      </w:r>
    </w:p>
    <w:p>
      <w:pPr>
        <w:pStyle w:val="2"/>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校方责任险项目情况说明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jc w:val="both"/>
        <w:rPr>
          <w:rFonts w:hint="eastAsia" w:ascii="黑体" w:hAnsi="黑体" w:eastAsia="黑体" w:cs="黑体"/>
          <w:b w:val="0"/>
          <w:bCs w:val="0"/>
          <w:color w:val="000000"/>
          <w:kern w:val="0"/>
          <w:sz w:val="24"/>
          <w:szCs w:val="24"/>
        </w:rPr>
      </w:pPr>
      <w:r>
        <w:rPr>
          <w:rFonts w:hint="eastAsia" w:ascii="仿宋_GB2312" w:hAnsi="仿宋" w:eastAsia="仿宋_GB2312"/>
          <w:sz w:val="28"/>
          <w:szCs w:val="28"/>
          <w:lang w:val="en-US" w:eastAsia="zh-CN"/>
        </w:rPr>
        <w:t>按生均2元标准，在保险公司投保校方责任险</w:t>
      </w:r>
      <w:r>
        <w:rPr>
          <w:rFonts w:hint="eastAsia" w:ascii="宋体" w:hAnsi="宋体"/>
          <w:szCs w:val="21"/>
          <w:lang w:val="en-US" w:eastAsia="zh-CN"/>
        </w:rPr>
        <w:t>。</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年初预算安排资金22万元。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绩效目标：通</w:t>
      </w:r>
      <w:r>
        <w:rPr>
          <w:rFonts w:hint="eastAsia" w:ascii="仿宋_GB2312" w:hAnsi="仿宋" w:eastAsia="仿宋_GB2312"/>
          <w:sz w:val="28"/>
          <w:szCs w:val="28"/>
          <w:lang w:val="en-US" w:eastAsia="zh-CN"/>
        </w:rPr>
        <w:t>过购买校方责任险，助推学校安全稳定发展</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产出指标：1、数量指标：参保学生人数</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110000人</w:t>
      </w:r>
      <w:r>
        <w:rPr>
          <w:rFonts w:hint="eastAsia" w:ascii="仿宋_GB2312" w:hAnsi="仿宋" w:eastAsia="仿宋_GB2312"/>
          <w:sz w:val="28"/>
          <w:szCs w:val="28"/>
          <w:lang w:val="en-US" w:eastAsia="zh-CN"/>
        </w:rPr>
        <w:t>；2、质量指标：参保覆盖面（%）</w:t>
      </w:r>
      <w:r>
        <w:rPr>
          <w:rFonts w:hint="eastAsia" w:ascii="仿宋_GB2312" w:hAnsi="仿宋" w:eastAsia="仿宋_GB2312"/>
          <w:sz w:val="28"/>
          <w:szCs w:val="28"/>
          <w:lang w:val="en-US" w:eastAsia="zh-CN"/>
        </w:rPr>
        <w:t>=100%；3、时效指标：资金拨付及时性（%）</w:t>
      </w:r>
      <w:r>
        <w:rPr>
          <w:rFonts w:hint="eastAsia" w:ascii="仿宋_GB2312" w:hAnsi="仿宋" w:eastAsia="仿宋_GB2312"/>
          <w:sz w:val="28"/>
          <w:szCs w:val="28"/>
          <w:lang w:val="en-US" w:eastAsia="zh-CN"/>
        </w:rPr>
        <w:t>=100%；4、成本指标：人均财政拨付保险费=2元</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效益指标：社会效益指标：赔付率</w:t>
      </w:r>
      <w:r>
        <w:rPr>
          <w:rFonts w:hint="eastAsia" w:ascii="仿宋_GB2312" w:hAnsi="仿宋" w:eastAsia="仿宋_GB2312"/>
          <w:sz w:val="28"/>
          <w:szCs w:val="28"/>
          <w:lang w:val="en-US" w:eastAsia="zh-CN"/>
        </w:rPr>
        <w:t>=100%。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满意度指标：学校家长满意度（%）</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95%。</w:t>
      </w:r>
    </w:p>
    <w:p>
      <w:pPr>
        <w:spacing w:line="560" w:lineRule="exact"/>
        <w:ind w:firstLine="480" w:firstLineChars="200"/>
        <w:rPr>
          <w:rFonts w:hint="eastAsia" w:ascii="黑体" w:hAnsi="黑体" w:eastAsia="黑体" w:cs="黑体"/>
          <w:color w:val="000000"/>
          <w:kern w:val="0"/>
          <w:sz w:val="24"/>
          <w:szCs w:val="24"/>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地方教材项目情况说明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采购的教材分发给各学校，从而开展地方课程。</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年初预算安排资金40万元。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绩效目标：1.完成2023年度地方课程的开设。2.培养学生的终身阅读意识。3.丰富校园、社会的爱国爱家氛围。</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产出指标：1、数量指标：完成教材采购数=26350册、完成3类教材采购=12类；</w:t>
      </w:r>
      <w:r>
        <w:rPr>
          <w:rFonts w:hint="eastAsia" w:ascii="仿宋_GB2312" w:hAnsi="仿宋" w:eastAsia="仿宋_GB2312"/>
          <w:sz w:val="28"/>
          <w:szCs w:val="28"/>
          <w:lang w:val="en-US" w:eastAsia="zh-CN"/>
        </w:rPr>
        <w:t>2、质量指标：教材采购分配合规性</w:t>
      </w:r>
      <w:r>
        <w:rPr>
          <w:rFonts w:hint="eastAsia" w:ascii="仿宋_GB2312" w:hAnsi="仿宋" w:eastAsia="仿宋_GB2312"/>
          <w:sz w:val="28"/>
          <w:szCs w:val="28"/>
          <w:lang w:val="en-US" w:eastAsia="zh-CN"/>
        </w:rPr>
        <w:t>=100%、采购质量合格率=100%</w:t>
      </w:r>
      <w:r>
        <w:rPr>
          <w:rFonts w:hint="eastAsia" w:ascii="仿宋_GB2312" w:hAnsi="仿宋" w:eastAsia="仿宋_GB2312"/>
          <w:sz w:val="28"/>
          <w:szCs w:val="28"/>
          <w:lang w:val="en-US" w:eastAsia="zh-CN"/>
        </w:rPr>
        <w:t>；3、时效指标：各项工作完成及时性</w:t>
      </w:r>
      <w:r>
        <w:rPr>
          <w:rFonts w:hint="eastAsia" w:ascii="仿宋_GB2312" w:hAnsi="仿宋" w:eastAsia="仿宋_GB2312"/>
          <w:sz w:val="28"/>
          <w:szCs w:val="28"/>
          <w:lang w:val="en-US" w:eastAsia="zh-CN"/>
        </w:rPr>
        <w:t>=100%、项目资金拨付及时性=100%</w:t>
      </w:r>
      <w:r>
        <w:rPr>
          <w:rFonts w:hint="eastAsia" w:ascii="仿宋_GB2312" w:hAnsi="仿宋" w:eastAsia="仿宋_GB2312"/>
          <w:sz w:val="28"/>
          <w:szCs w:val="28"/>
          <w:lang w:val="en-US" w:eastAsia="zh-CN"/>
        </w:rPr>
        <w:t>；4、成本指标：成本节约率</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5%。</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效益指标：社会效益指标：提高阅读水平</w:t>
      </w:r>
      <w:r>
        <w:rPr>
          <w:rFonts w:hint="eastAsia" w:ascii="仿宋_GB2312" w:hAnsi="仿宋" w:eastAsia="仿宋_GB2312"/>
          <w:sz w:val="28"/>
          <w:szCs w:val="28"/>
          <w:lang w:val="en-US" w:eastAsia="zh-CN"/>
        </w:rPr>
        <w:t>=100%、培养学生家乡情怀=100%</w:t>
      </w:r>
      <w:r>
        <w:rPr>
          <w:rFonts w:hint="eastAsia" w:ascii="仿宋_GB2312" w:hAnsi="仿宋" w:eastAsia="仿宋_GB2312"/>
          <w:sz w:val="28"/>
          <w:szCs w:val="28"/>
          <w:lang w:val="en-US" w:eastAsia="zh-CN"/>
        </w:rPr>
        <w:t>。</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满意度指标：师生满意度（%）&gt;=95%。</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新建区教师培训经费</w:t>
      </w:r>
      <w:r>
        <w:rPr>
          <w:rFonts w:hint="eastAsia" w:ascii="仿宋_GB2312" w:hAnsi="仿宋" w:eastAsia="仿宋_GB2312"/>
          <w:sz w:val="28"/>
          <w:szCs w:val="28"/>
          <w:lang w:val="en-US" w:eastAsia="zh-CN"/>
        </w:rPr>
        <w:t>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通过培训，提高教师素质，进而提高教育教学质量。1、江西省中小学“互联网+教师专业发展”全员培训，每年每人60课时。</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2、国培计划-中小学幼儿园教师培训，按省、市教育行政部门计划安排。</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3、区级集中培训：根据实际需要，安排中小学（幼儿园）校园长、中层干部培训、新教师岗前培训、中小学（幼儿园）各学科教师专业素养提升培训、骨干教师培训和班主任培训等。</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4、校本培训每年5000人次。</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年初预算安排资金585万元。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绩效目标：有效提高全区教师的师德水平，增强教育教学能力，使全区教育质量整体提升，教育现代化水平明显提高，优质教育资源总量不断扩大，更好满足人民群众接受高质量教育的需求。</w:t>
      </w:r>
    </w:p>
    <w:p>
      <w:pPr>
        <w:spacing w:line="560" w:lineRule="exact"/>
        <w:ind w:firstLine="280" w:firstLineChars="1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 xml:space="preserve"> 产出指标：1、数量指标：江西省“互联网+教师专业发展”全员培训人数</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5000人、国培计划-中小学幼儿园教师培训人数</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200人次、教育部教师研修计划人数</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3000人、区级集中培训人数</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2000人次、校本培训人数</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5000人</w:t>
      </w:r>
      <w:r>
        <w:rPr>
          <w:rFonts w:hint="eastAsia" w:ascii="仿宋_GB2312" w:hAnsi="仿宋" w:eastAsia="仿宋_GB2312"/>
          <w:sz w:val="28"/>
          <w:szCs w:val="28"/>
          <w:lang w:val="en-US" w:eastAsia="zh-CN"/>
        </w:rPr>
        <w:t>；2、质量指标：教师参训率</w:t>
      </w:r>
      <w:r>
        <w:rPr>
          <w:rFonts w:hint="eastAsia" w:ascii="仿宋_GB2312" w:hAnsi="仿宋" w:eastAsia="仿宋_GB2312"/>
          <w:sz w:val="28"/>
          <w:szCs w:val="28"/>
          <w:lang w:val="en-US" w:eastAsia="zh-CN"/>
        </w:rPr>
        <w:t>=100%、教师培训合格率</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98%</w:t>
      </w:r>
      <w:r>
        <w:rPr>
          <w:rFonts w:hint="eastAsia" w:ascii="仿宋_GB2312" w:hAnsi="仿宋" w:eastAsia="仿宋_GB2312"/>
          <w:sz w:val="28"/>
          <w:szCs w:val="28"/>
          <w:lang w:val="en-US" w:eastAsia="zh-CN"/>
        </w:rPr>
        <w:t>；3、时效指标：培训经费拨付及时性</w:t>
      </w:r>
      <w:r>
        <w:rPr>
          <w:rFonts w:hint="eastAsia" w:ascii="仿宋_GB2312" w:hAnsi="仿宋" w:eastAsia="仿宋_GB2312"/>
          <w:sz w:val="28"/>
          <w:szCs w:val="28"/>
          <w:lang w:val="en-US" w:eastAsia="zh-CN"/>
        </w:rPr>
        <w:t>=100%、教师培训完成及时性</w:t>
      </w:r>
      <w:r>
        <w:rPr>
          <w:rFonts w:hint="eastAsia" w:ascii="仿宋_GB2312" w:hAnsi="仿宋" w:eastAsia="仿宋_GB2312"/>
          <w:sz w:val="28"/>
          <w:szCs w:val="28"/>
          <w:lang w:val="en-US" w:eastAsia="zh-CN"/>
        </w:rPr>
        <w:t>=100%；4、成本指标：</w:t>
      </w:r>
      <w:r>
        <w:rPr>
          <w:rFonts w:hint="default" w:ascii="仿宋_GB2312" w:hAnsi="仿宋" w:eastAsia="仿宋_GB2312"/>
          <w:sz w:val="28"/>
          <w:szCs w:val="28"/>
          <w:lang w:val="en-US" w:eastAsia="zh-CN"/>
        </w:rPr>
        <w:t>人均培训成本（人民币）≤</w:t>
      </w:r>
      <w:r>
        <w:rPr>
          <w:rFonts w:hint="eastAsia" w:ascii="仿宋_GB2312" w:hAnsi="仿宋" w:eastAsia="仿宋_GB2312"/>
          <w:sz w:val="28"/>
          <w:szCs w:val="28"/>
          <w:lang w:val="en-US" w:eastAsia="zh-CN"/>
        </w:rPr>
        <w:t>980元。</w:t>
      </w:r>
    </w:p>
    <w:p>
      <w:pPr>
        <w:spacing w:line="560" w:lineRule="exact"/>
        <w:ind w:firstLine="280" w:firstLineChars="1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效益指标：社会效益指标：提升教师教育教学能力</w:t>
      </w:r>
      <w:r>
        <w:rPr>
          <w:rFonts w:hint="eastAsia" w:ascii="仿宋_GB2312" w:hAnsi="仿宋" w:eastAsia="仿宋_GB2312"/>
          <w:sz w:val="28"/>
          <w:szCs w:val="28"/>
          <w:lang w:val="en-US" w:eastAsia="zh-CN"/>
        </w:rPr>
        <w:t>=100%、改善师资水平</w:t>
      </w:r>
      <w:r>
        <w:rPr>
          <w:rFonts w:hint="eastAsia" w:ascii="仿宋_GB2312" w:hAnsi="仿宋" w:eastAsia="仿宋_GB2312"/>
          <w:sz w:val="28"/>
          <w:szCs w:val="28"/>
          <w:lang w:val="en-US" w:eastAsia="zh-CN"/>
        </w:rPr>
        <w:t>=100%、优化教育资源</w:t>
      </w:r>
      <w:r>
        <w:rPr>
          <w:rFonts w:hint="eastAsia" w:ascii="仿宋_GB2312" w:hAnsi="仿宋" w:eastAsia="仿宋_GB2312"/>
          <w:sz w:val="28"/>
          <w:szCs w:val="28"/>
          <w:lang w:val="en-US" w:eastAsia="zh-CN"/>
        </w:rPr>
        <w:t>=100%。可持续影响指标：促进教育事业发展</w:t>
      </w:r>
      <w:r>
        <w:rPr>
          <w:rFonts w:hint="eastAsia" w:ascii="仿宋_GB2312" w:hAnsi="仿宋" w:eastAsia="仿宋_GB2312"/>
          <w:sz w:val="28"/>
          <w:szCs w:val="28"/>
          <w:lang w:val="en-US" w:eastAsia="zh-CN"/>
        </w:rPr>
        <w:t>=100%。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满意度指标：教师培训满意度</w:t>
      </w:r>
      <w:r>
        <w:rPr>
          <w:rFonts w:hint="eastAsia" w:ascii="仿宋_GB2312" w:hAnsi="仿宋" w:eastAsia="仿宋_GB2312"/>
          <w:sz w:val="28"/>
          <w:szCs w:val="28"/>
          <w:lang w:val="en-US" w:eastAsia="zh-CN"/>
        </w:rPr>
        <w:t>（%）</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95%。</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教育城域网二期运行维护经费　</w:t>
      </w:r>
      <w:r>
        <w:rPr>
          <w:rFonts w:hint="eastAsia" w:ascii="仿宋_GB2312" w:hAnsi="仿宋" w:eastAsia="仿宋_GB2312"/>
          <w:sz w:val="28"/>
          <w:szCs w:val="28"/>
          <w:lang w:val="en-US" w:eastAsia="zh-CN"/>
        </w:rPr>
        <w:t>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对“新建区教育城域网服务”进行运行维护，保障城域网长效使用，优化区域内学校的数字校园建设，完善实现教育管理流程再造、组织重构，全面提升区域教育治理水平，推动教育信息化融合创新发展，实现校内资源的有效聚集与广泛共享。</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年初预算安排资金76.4万元。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有效整合分散的教学资源，将所有网络教学资源尽量纳入统一的规划、统一的开发平台和统一的技术标准，以增强教学资源的通用性、互换性、兼容性和共享性。形成一套行之有效的协调管理资源体系，以防止资源盲目堆集，使之结构上加以优化，管理上力求创新，技术上实施集成，使孤立零散的教学资源成为有机联系的整体资源，从而求得整体效益的最大化。</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产出指标：1、数量指标：完成教育城域网安装及维护学校数=178所</w:t>
      </w:r>
      <w:r>
        <w:rPr>
          <w:rFonts w:hint="eastAsia" w:ascii="仿宋_GB2312" w:hAnsi="仿宋" w:eastAsia="仿宋_GB2312"/>
          <w:sz w:val="28"/>
          <w:szCs w:val="28"/>
          <w:lang w:val="en-US" w:eastAsia="zh-CN"/>
        </w:rPr>
        <w:t>；2、质量指标：网络维护有效性</w:t>
      </w:r>
      <w:r>
        <w:rPr>
          <w:rFonts w:hint="eastAsia" w:ascii="仿宋_GB2312" w:hAnsi="仿宋" w:eastAsia="仿宋_GB2312"/>
          <w:sz w:val="28"/>
          <w:szCs w:val="28"/>
          <w:lang w:val="en-US" w:eastAsia="zh-CN"/>
        </w:rPr>
        <w:t>=100%；3、时效指标：教育城域网维护及时率（%）</w:t>
      </w:r>
      <w:r>
        <w:rPr>
          <w:rFonts w:hint="eastAsia" w:ascii="仿宋_GB2312" w:hAnsi="仿宋" w:eastAsia="仿宋_GB2312"/>
          <w:sz w:val="28"/>
          <w:szCs w:val="28"/>
          <w:lang w:val="en-US" w:eastAsia="zh-CN"/>
        </w:rPr>
        <w:t>=100%；4、成本指标：成本节约率±5</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效益指标：社会效益指标：建设数字化健康共享校园</w:t>
      </w:r>
      <w:r>
        <w:rPr>
          <w:rFonts w:hint="eastAsia" w:ascii="仿宋_GB2312" w:hAnsi="仿宋" w:eastAsia="仿宋_GB2312"/>
          <w:sz w:val="28"/>
          <w:szCs w:val="28"/>
          <w:lang w:val="en-US" w:eastAsia="zh-CN"/>
        </w:rPr>
        <w:t>=100%。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满意度指标：师生满意度（%）</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95%。</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全民健身器材经费</w:t>
      </w:r>
      <w:r>
        <w:rPr>
          <w:rFonts w:hint="eastAsia" w:ascii="仿宋_GB2312" w:hAnsi="仿宋" w:eastAsia="仿宋_GB2312"/>
          <w:sz w:val="28"/>
          <w:szCs w:val="28"/>
          <w:lang w:val="en-US" w:eastAsia="zh-CN"/>
        </w:rPr>
        <w:t>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每年通过政府采购后，由各社区（村）、单位打报告申请安装。</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年初预算安排资金60万元。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绩效目标：满足全区人民健身需求、让每个人都有健康的身体。</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产出指标：1、数量指标：用于保障全区全民健身器材添置数量=50套</w:t>
      </w:r>
      <w:r>
        <w:rPr>
          <w:rFonts w:hint="eastAsia" w:ascii="仿宋_GB2312" w:hAnsi="仿宋" w:eastAsia="仿宋_GB2312"/>
          <w:sz w:val="28"/>
          <w:szCs w:val="28"/>
          <w:lang w:val="en-US" w:eastAsia="zh-CN"/>
        </w:rPr>
        <w:t>；2、质量指标：全民健身场地、设施、器材验收合格率达到</w:t>
      </w:r>
      <w:r>
        <w:rPr>
          <w:rFonts w:hint="eastAsia" w:ascii="仿宋_GB2312" w:hAnsi="仿宋" w:eastAsia="仿宋_GB2312"/>
          <w:sz w:val="28"/>
          <w:szCs w:val="28"/>
          <w:lang w:val="en-US" w:eastAsia="zh-CN"/>
        </w:rPr>
        <w:t>=100%；3、时效指标：健身器材采购、安装完成率</w:t>
      </w:r>
      <w:r>
        <w:rPr>
          <w:rFonts w:hint="eastAsia" w:ascii="仿宋_GB2312" w:hAnsi="仿宋" w:eastAsia="仿宋_GB2312"/>
          <w:sz w:val="28"/>
          <w:szCs w:val="28"/>
          <w:lang w:val="en-US" w:eastAsia="zh-CN"/>
        </w:rPr>
        <w:t>=100%；4、成本指标：设备购置成本每套=1.2万元</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效益指标：社会效益指标：全区人均体育场地面积提高</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0.1</w:t>
      </w:r>
      <w:r>
        <w:rPr>
          <w:rFonts w:hint="eastAsia" w:ascii="仿宋_GB2312" w:hAnsi="仿宋" w:eastAsia="仿宋_GB2312"/>
          <w:sz w:val="28"/>
          <w:szCs w:val="28"/>
          <w:lang w:val="en-US" w:eastAsia="zh-CN"/>
        </w:rPr>
        <w:t>%。</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满意度指标：群众满意度</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95%。</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新建区直学校（幼儿园）三防经费项目情况说明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（1）人防建设（2）物防建设（3）技防建设</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年初预算安排资金549.36万元。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绩效目标：1、促进教育公平、提高教育质量的有效手段；2、促进教学模式的变革教；3、创造泛在学习环境、构建学习型社会的必由之路。</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产出指标：1、数量指标：区直学校（幼儿园）三防经费补助学校数=37所　</w:t>
      </w:r>
      <w:r>
        <w:rPr>
          <w:rFonts w:hint="eastAsia" w:ascii="仿宋_GB2312" w:hAnsi="仿宋" w:eastAsia="仿宋_GB2312"/>
          <w:sz w:val="28"/>
          <w:szCs w:val="28"/>
          <w:lang w:val="en-US" w:eastAsia="zh-CN"/>
        </w:rPr>
        <w:t>；2、质量指标：区直学校（幼儿园）三防经费补助覆盖率（%）</w:t>
      </w:r>
      <w:r>
        <w:rPr>
          <w:rFonts w:hint="eastAsia" w:ascii="仿宋_GB2312" w:hAnsi="仿宋" w:eastAsia="仿宋_GB2312"/>
          <w:sz w:val="28"/>
          <w:szCs w:val="28"/>
          <w:lang w:val="en-US" w:eastAsia="zh-CN"/>
        </w:rPr>
        <w:t>=100%；3、时效指标：区直学校（幼儿园）三防经费补助拨付及时率（%）</w:t>
      </w:r>
      <w:r>
        <w:rPr>
          <w:rFonts w:hint="eastAsia" w:ascii="仿宋_GB2312" w:hAnsi="仿宋" w:eastAsia="仿宋_GB2312"/>
          <w:sz w:val="28"/>
          <w:szCs w:val="28"/>
          <w:lang w:val="en-US" w:eastAsia="zh-CN"/>
        </w:rPr>
        <w:t>=100%；4、成本指标：区直学校（幼儿园）三防经费补助标准=2180元/月*人　</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效益指标：社会效益指标：有效保障校园安全</w:t>
      </w:r>
      <w:r>
        <w:rPr>
          <w:rFonts w:hint="eastAsia" w:ascii="仿宋_GB2312" w:hAnsi="仿宋" w:eastAsia="仿宋_GB2312"/>
          <w:sz w:val="28"/>
          <w:szCs w:val="28"/>
          <w:lang w:val="en-US" w:eastAsia="zh-CN"/>
        </w:rPr>
        <w:t>=100%。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满意度指标：家长、学生满意度（%）</w:t>
      </w:r>
      <w:r>
        <w:rPr>
          <w:rFonts w:hint="eastAsia" w:ascii="仿宋_GB2312" w:hAnsi="仿宋" w:eastAsia="仿宋_GB2312"/>
          <w:sz w:val="28"/>
          <w:szCs w:val="28"/>
          <w:lang w:val="en-US" w:eastAsia="zh-CN"/>
        </w:rPr>
        <w:t>=100%。</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乡村学校少年宫经费</w:t>
      </w:r>
      <w:r>
        <w:rPr>
          <w:rFonts w:hint="eastAsia" w:ascii="仿宋_GB2312" w:hAnsi="仿宋" w:eastAsia="仿宋_GB2312"/>
          <w:sz w:val="28"/>
          <w:szCs w:val="28"/>
          <w:lang w:val="en-US" w:eastAsia="zh-CN"/>
        </w:rPr>
        <w:t>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新建项目经费每所15万元，运转补助经费在校学生1000人以上的学校每所每年5万元，1000人以下的每所每年3万元，对乡村学校少年宫进行年度考核，优秀15%，每所6万、良好25%，每所4万、合格每所3万</w:t>
      </w:r>
      <w:r>
        <w:rPr>
          <w:rFonts w:hint="eastAsia" w:ascii="仿宋_GB2312" w:hAnsi="仿宋" w:eastAsia="仿宋_GB2312"/>
          <w:sz w:val="28"/>
          <w:szCs w:val="28"/>
          <w:lang w:val="en-US" w:eastAsia="zh-CN"/>
        </w:rPr>
        <w:t>。</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年初预算安排资金55万元。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绩效目标：1、加强农村未成年人校外活动场所的硬件设备，加强农村未成年人思想道德建设。</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产出指标：1、数量指标：乡村学校少年宫新建修缮、考核运转</w:t>
      </w:r>
      <w:r>
        <w:rPr>
          <w:rFonts w:hint="eastAsia" w:ascii="仿宋_GB2312" w:hAnsi="仿宋" w:eastAsia="仿宋_GB2312"/>
          <w:sz w:val="28"/>
          <w:szCs w:val="28"/>
          <w:lang w:val="en-US" w:eastAsia="zh-CN"/>
        </w:rPr>
        <w:t>学校数量=13所；2、质量指标：进行考核优秀、良好率</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40%；3、时效指标：资金拨付及时性　</w:t>
      </w:r>
      <w:r>
        <w:rPr>
          <w:rFonts w:hint="eastAsia" w:ascii="仿宋_GB2312" w:hAnsi="仿宋" w:eastAsia="仿宋_GB2312"/>
          <w:sz w:val="28"/>
          <w:szCs w:val="28"/>
          <w:lang w:val="en-US" w:eastAsia="zh-CN"/>
        </w:rPr>
        <w:t>=100%；4、成本指标：装备支出占比　</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70%。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效益指标：社会效益指标：加强农村未成年人思想道德建设</w:t>
      </w:r>
      <w:r>
        <w:rPr>
          <w:rFonts w:hint="eastAsia" w:ascii="仿宋_GB2312" w:hAnsi="仿宋" w:eastAsia="仿宋_GB2312"/>
          <w:sz w:val="28"/>
          <w:szCs w:val="28"/>
          <w:lang w:val="en-US" w:eastAsia="zh-CN"/>
        </w:rPr>
        <w:t>=100%、发展学生兴趣爱好</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60%。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　学生及家长满意度</w:t>
      </w:r>
      <w:r>
        <w:rPr>
          <w:rFonts w:hint="eastAsia" w:ascii="仿宋_GB2312" w:hAnsi="仿宋" w:eastAsia="仿宋_GB2312"/>
          <w:sz w:val="28"/>
          <w:szCs w:val="28"/>
          <w:lang w:val="en-US" w:eastAsia="zh-CN"/>
        </w:rPr>
        <w:t>（%）</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9</w:t>
      </w:r>
      <w:r>
        <w:rPr>
          <w:rFonts w:hint="eastAsia" w:ascii="仿宋_GB2312" w:hAnsi="仿宋" w:eastAsia="仿宋_GB2312"/>
          <w:sz w:val="28"/>
          <w:szCs w:val="28"/>
          <w:lang w:val="en-US" w:eastAsia="zh-CN"/>
        </w:rPr>
        <w:t>0%。</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老年体协活动及参赛经费</w:t>
      </w:r>
      <w:r>
        <w:rPr>
          <w:rFonts w:hint="eastAsia" w:ascii="仿宋_GB2312" w:hAnsi="仿宋" w:eastAsia="仿宋_GB2312"/>
          <w:sz w:val="28"/>
          <w:szCs w:val="28"/>
          <w:lang w:val="en-US" w:eastAsia="zh-CN"/>
        </w:rPr>
        <w:t>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开展老年人健身活动、保障老年人健身活动的蓬勃开展，满足老年人多元化健身要求。</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年初预算安排资金75万元。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w:t>
      </w:r>
      <w:r>
        <w:rPr>
          <w:rFonts w:hint="default" w:ascii="仿宋_GB2312" w:hAnsi="仿宋" w:eastAsia="仿宋_GB2312"/>
          <w:sz w:val="28"/>
          <w:szCs w:val="28"/>
          <w:lang w:val="en-US" w:eastAsia="zh-CN"/>
        </w:rPr>
        <w:t>保障</w:t>
      </w:r>
      <w:r>
        <w:rPr>
          <w:rFonts w:hint="eastAsia" w:ascii="仿宋_GB2312" w:hAnsi="仿宋" w:eastAsia="仿宋_GB2312"/>
          <w:sz w:val="28"/>
          <w:szCs w:val="28"/>
          <w:lang w:val="en-US" w:eastAsia="zh-CN"/>
        </w:rPr>
        <w:t>老年人健身活动顺利</w:t>
      </w:r>
      <w:r>
        <w:rPr>
          <w:rFonts w:hint="default" w:ascii="仿宋_GB2312" w:hAnsi="仿宋" w:eastAsia="仿宋_GB2312"/>
          <w:sz w:val="28"/>
          <w:szCs w:val="28"/>
          <w:lang w:val="en-US" w:eastAsia="zh-CN"/>
        </w:rPr>
        <w:t>运行</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w:t>
      </w:r>
      <w:r>
        <w:rPr>
          <w:rFonts w:hint="default" w:ascii="仿宋_GB2312" w:hAnsi="仿宋" w:eastAsia="仿宋_GB2312"/>
          <w:sz w:val="28"/>
          <w:szCs w:val="28"/>
          <w:lang w:val="en-US" w:eastAsia="zh-CN"/>
        </w:rPr>
        <w:t>各项</w:t>
      </w:r>
      <w:r>
        <w:rPr>
          <w:rFonts w:hint="eastAsia" w:ascii="仿宋_GB2312" w:hAnsi="仿宋" w:eastAsia="仿宋_GB2312"/>
          <w:sz w:val="28"/>
          <w:szCs w:val="28"/>
          <w:lang w:val="en-US" w:eastAsia="zh-CN"/>
        </w:rPr>
        <w:t>体育活动</w:t>
      </w:r>
      <w:r>
        <w:rPr>
          <w:rFonts w:hint="default" w:ascii="仿宋_GB2312" w:hAnsi="仿宋" w:eastAsia="仿宋_GB2312"/>
          <w:sz w:val="28"/>
          <w:szCs w:val="28"/>
          <w:lang w:val="en-US" w:eastAsia="zh-CN"/>
        </w:rPr>
        <w:t>业务项目按时结算</w:t>
      </w:r>
      <w:r>
        <w:rPr>
          <w:rFonts w:hint="eastAsia" w:ascii="仿宋_GB2312" w:hAnsi="仿宋" w:eastAsia="仿宋_GB2312"/>
          <w:sz w:val="28"/>
          <w:szCs w:val="28"/>
          <w:lang w:val="en-US" w:eastAsia="zh-CN"/>
        </w:rPr>
        <w:t>率</w:t>
      </w:r>
      <w:r>
        <w:rPr>
          <w:rFonts w:hint="eastAsia" w:ascii="仿宋_GB2312" w:hAnsi="仿宋" w:eastAsia="仿宋_GB2312"/>
          <w:sz w:val="28"/>
          <w:szCs w:val="28"/>
          <w:lang w:val="en-US" w:eastAsia="zh-CN"/>
        </w:rPr>
        <w:t>=100%；2、质量指标：</w:t>
      </w:r>
      <w:r>
        <w:rPr>
          <w:rFonts w:hint="default" w:ascii="仿宋_GB2312" w:hAnsi="仿宋" w:eastAsia="仿宋_GB2312"/>
          <w:sz w:val="28"/>
          <w:szCs w:val="28"/>
          <w:lang w:val="en-US" w:eastAsia="zh-CN"/>
        </w:rPr>
        <w:t>各类办公用品、</w:t>
      </w:r>
      <w:r>
        <w:rPr>
          <w:rFonts w:hint="eastAsia" w:ascii="仿宋_GB2312" w:hAnsi="仿宋" w:eastAsia="仿宋_GB2312"/>
          <w:sz w:val="28"/>
          <w:szCs w:val="28"/>
          <w:lang w:val="en-US" w:eastAsia="zh-CN"/>
        </w:rPr>
        <w:t>体育用品</w:t>
      </w:r>
      <w:r>
        <w:rPr>
          <w:rFonts w:hint="default" w:ascii="仿宋_GB2312" w:hAnsi="仿宋" w:eastAsia="仿宋_GB2312"/>
          <w:sz w:val="28"/>
          <w:szCs w:val="28"/>
          <w:lang w:val="en-US" w:eastAsia="zh-CN"/>
        </w:rPr>
        <w:t>购置验收合格率</w:t>
      </w:r>
      <w:r>
        <w:rPr>
          <w:rFonts w:hint="eastAsia" w:ascii="仿宋_GB2312" w:hAnsi="仿宋" w:eastAsia="仿宋_GB2312"/>
          <w:sz w:val="28"/>
          <w:szCs w:val="28"/>
          <w:lang w:val="en-US" w:eastAsia="zh-CN"/>
        </w:rPr>
        <w:t>=100%；3、时效指标：资金拨付及时率</w:t>
      </w:r>
      <w:r>
        <w:rPr>
          <w:rFonts w:hint="eastAsia" w:ascii="仿宋_GB2312" w:hAnsi="仿宋" w:eastAsia="仿宋_GB2312"/>
          <w:sz w:val="28"/>
          <w:szCs w:val="28"/>
          <w:lang w:val="en-US" w:eastAsia="zh-CN"/>
        </w:rPr>
        <w:t>=100%；4、成本指标：成本控制率</w:t>
      </w:r>
      <w:r>
        <w:rPr>
          <w:rFonts w:hint="eastAsia" w:ascii="仿宋_GB2312" w:hAnsi="仿宋" w:eastAsia="仿宋_GB2312"/>
          <w:sz w:val="28"/>
          <w:szCs w:val="28"/>
          <w:lang w:val="en-US" w:eastAsia="zh-CN"/>
        </w:rPr>
        <w:t>=100%。</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效益指标：社会效益指标：老年体协</w:t>
      </w:r>
      <w:r>
        <w:rPr>
          <w:rFonts w:hint="default" w:ascii="仿宋_GB2312" w:hAnsi="仿宋" w:eastAsia="仿宋_GB2312"/>
          <w:sz w:val="28"/>
          <w:szCs w:val="28"/>
          <w:lang w:val="en-US" w:eastAsia="zh-CN"/>
        </w:rPr>
        <w:t>正常运转率</w:t>
      </w:r>
      <w:r>
        <w:rPr>
          <w:rFonts w:hint="eastAsia" w:ascii="仿宋_GB2312" w:hAnsi="仿宋" w:eastAsia="仿宋_GB2312"/>
          <w:sz w:val="28"/>
          <w:szCs w:val="28"/>
          <w:lang w:val="en-US" w:eastAsia="zh-CN"/>
        </w:rPr>
        <w:t>100%。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满意度指标：参赛人员</w:t>
      </w:r>
      <w:r>
        <w:rPr>
          <w:rFonts w:hint="default" w:ascii="仿宋_GB2312" w:hAnsi="仿宋" w:eastAsia="仿宋_GB2312"/>
          <w:sz w:val="28"/>
          <w:szCs w:val="28"/>
          <w:lang w:val="en-US" w:eastAsia="zh-CN"/>
        </w:rPr>
        <w:t>满意度</w:t>
      </w:r>
      <w:r>
        <w:rPr>
          <w:rFonts w:hint="eastAsia" w:ascii="仿宋_GB2312" w:hAnsi="仿宋" w:eastAsia="仿宋_GB2312"/>
          <w:sz w:val="28"/>
          <w:szCs w:val="28"/>
          <w:lang w:val="en-US" w:eastAsia="zh-CN"/>
        </w:rPr>
        <w:t>=100%。</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教育督导工作经费</w:t>
      </w:r>
      <w:r>
        <w:rPr>
          <w:rFonts w:hint="eastAsia" w:ascii="仿宋_GB2312" w:hAnsi="仿宋" w:eastAsia="仿宋_GB2312"/>
          <w:sz w:val="28"/>
          <w:szCs w:val="28"/>
          <w:lang w:val="en-US" w:eastAsia="zh-CN"/>
        </w:rPr>
        <w:t>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要用于责任督学的工作津贴、日常办公、培训学习、表彰奖励等，按规定妥善解决责任督学（督学助理）和督导人员因教育督导工作产生的通信、交通、食宿、劳务等费用。　</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年初预算安排资金120万元。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绩效目标：保障责任督学挂牌督导及教育督导工作的正常运转和有序推进</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产出指标：1、数量指标：责任督学、督导人员=70人</w:t>
      </w:r>
      <w:r>
        <w:rPr>
          <w:rFonts w:hint="eastAsia" w:ascii="仿宋_GB2312" w:hAnsi="仿宋" w:eastAsia="仿宋_GB2312"/>
          <w:sz w:val="28"/>
          <w:szCs w:val="28"/>
          <w:lang w:val="en-US" w:eastAsia="zh-CN"/>
        </w:rPr>
        <w:t>；2、质量指标：保障责任督学挂牌督导及教育督导工作的正常运转和有序推进=100%；3、时效指标：资金拨付及时率=100%；4、成本指标：成本控制率=100%。</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效益指标：社会效益指标：推进教育发展=100%。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满意度指标：社会、学校、学生、教师满意度（%）</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90%。</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全区体育竞赛经费</w:t>
      </w:r>
      <w:r>
        <w:rPr>
          <w:rFonts w:hint="eastAsia" w:ascii="仿宋_GB2312" w:hAnsi="仿宋" w:eastAsia="仿宋_GB2312"/>
          <w:sz w:val="28"/>
          <w:szCs w:val="28"/>
          <w:lang w:val="en-US" w:eastAsia="zh-CN"/>
        </w:rPr>
        <w:t>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每年按照省市体育部门文件，积极组织组队参加省市比赛</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年初预算安排资金50万元。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绩效目标：保障正常参加省市赛事、加快推进体育强国建设、提高全区青少年发展</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产出指标：1、数量指标：青少年竞赛经费覆盖参加市、省级项目比赛</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16次</w:t>
      </w:r>
      <w:r>
        <w:rPr>
          <w:rFonts w:hint="eastAsia" w:ascii="仿宋_GB2312" w:hAnsi="仿宋" w:eastAsia="仿宋_GB2312"/>
          <w:sz w:val="28"/>
          <w:szCs w:val="28"/>
          <w:lang w:val="en-US" w:eastAsia="zh-CN"/>
        </w:rPr>
        <w:t>；2、质量指标：确保各项体育比赛经费拨付率</w:t>
      </w:r>
      <w:r>
        <w:rPr>
          <w:rFonts w:hint="eastAsia" w:ascii="仿宋_GB2312" w:hAnsi="仿宋" w:eastAsia="仿宋_GB2312"/>
          <w:sz w:val="28"/>
          <w:szCs w:val="28"/>
          <w:lang w:val="en-US" w:eastAsia="zh-CN"/>
        </w:rPr>
        <w:t>=100%；3、时效指标：参加省市比赛完成率</w:t>
      </w:r>
      <w:r>
        <w:rPr>
          <w:rFonts w:hint="eastAsia" w:ascii="仿宋_GB2312" w:hAnsi="仿宋" w:eastAsia="仿宋_GB2312"/>
          <w:sz w:val="28"/>
          <w:szCs w:val="28"/>
          <w:lang w:val="en-US" w:eastAsia="zh-CN"/>
        </w:rPr>
        <w:t>=100%；4、成本指标：成本控制率</w:t>
      </w:r>
      <w:r>
        <w:rPr>
          <w:rFonts w:hint="eastAsia" w:ascii="仿宋_GB2312" w:hAnsi="仿宋" w:eastAsia="仿宋_GB2312"/>
          <w:sz w:val="28"/>
          <w:szCs w:val="28"/>
          <w:lang w:val="en-US" w:eastAsia="zh-CN"/>
        </w:rPr>
        <w:t>=100%　</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效益指标：社会效益指标：输送、培养优秀运动员</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5人　</w:t>
      </w:r>
      <w:r>
        <w:rPr>
          <w:rFonts w:hint="eastAsia" w:ascii="仿宋_GB2312" w:hAnsi="仿宋" w:eastAsia="仿宋_GB2312"/>
          <w:sz w:val="28"/>
          <w:szCs w:val="28"/>
          <w:lang w:val="en-US" w:eastAsia="zh-CN"/>
        </w:rPr>
        <w:t>。</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满意度指标：家长满意度（%）</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95%　</w:t>
      </w:r>
      <w:r>
        <w:rPr>
          <w:rFonts w:hint="eastAsia" w:ascii="仿宋_GB2312" w:hAnsi="仿宋" w:eastAsia="仿宋_GB2312"/>
          <w:sz w:val="28"/>
          <w:szCs w:val="28"/>
          <w:lang w:val="en-US" w:eastAsia="zh-CN"/>
        </w:rPr>
        <w:t>。</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全区社会足球场地维护管理费</w:t>
      </w:r>
      <w:r>
        <w:rPr>
          <w:rFonts w:hint="eastAsia" w:ascii="仿宋_GB2312" w:hAnsi="仿宋" w:eastAsia="仿宋_GB2312"/>
          <w:sz w:val="28"/>
          <w:szCs w:val="28"/>
          <w:lang w:val="en-US" w:eastAsia="zh-CN"/>
        </w:rPr>
        <w:t>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由社会足球场地建设单位委托第三方公司维护管理，并签约合同，社会足球场地维护管理费经费开支范围主要包括：维护费、管理费、保洁费等。</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年初预算安排资金70万元。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绩效目标：确保社会足球场地免费或低收入正常开放，持续发挥社会足球场的作用、营造良好的足球氛围。</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产出指标：1、数量指标：用于保障全区社会足球场地维护管理=11块</w:t>
      </w:r>
      <w:r>
        <w:rPr>
          <w:rFonts w:hint="eastAsia" w:ascii="仿宋_GB2312" w:hAnsi="仿宋" w:eastAsia="仿宋_GB2312"/>
          <w:sz w:val="28"/>
          <w:szCs w:val="28"/>
          <w:lang w:val="en-US" w:eastAsia="zh-CN"/>
        </w:rPr>
        <w:t>；2、质量指标：确保社会足球场地免费或低收入正常开放率</w:t>
      </w:r>
      <w:r>
        <w:rPr>
          <w:rFonts w:hint="eastAsia" w:ascii="仿宋_GB2312" w:hAnsi="仿宋" w:eastAsia="仿宋_GB2312"/>
          <w:sz w:val="28"/>
          <w:szCs w:val="28"/>
          <w:lang w:val="en-US" w:eastAsia="zh-CN"/>
        </w:rPr>
        <w:t>=100%；3、时效指标：社会足球场地维护管理费及时拨付率</w:t>
      </w:r>
      <w:r>
        <w:rPr>
          <w:rFonts w:hint="eastAsia" w:ascii="仿宋_GB2312" w:hAnsi="仿宋" w:eastAsia="仿宋_GB2312"/>
          <w:sz w:val="28"/>
          <w:szCs w:val="28"/>
          <w:lang w:val="en-US" w:eastAsia="zh-CN"/>
        </w:rPr>
        <w:t>=100%；4、成本指标：每片社会足球场地维护管理费≦15万元</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效益指标：社会效益指标：确保社会足球场使用率　</w:t>
      </w:r>
      <w:r>
        <w:rPr>
          <w:rFonts w:hint="eastAsia" w:ascii="仿宋_GB2312" w:hAnsi="仿宋" w:eastAsia="仿宋_GB2312"/>
          <w:sz w:val="28"/>
          <w:szCs w:val="28"/>
          <w:lang w:val="en-US" w:eastAsia="zh-CN"/>
        </w:rPr>
        <w:t>=100%。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满意度指标：群众满意度</w:t>
      </w:r>
      <w:r>
        <w:rPr>
          <w:rFonts w:hint="eastAsia" w:ascii="仿宋_GB2312" w:hAnsi="仿宋" w:eastAsia="仿宋_GB2312"/>
          <w:sz w:val="28"/>
          <w:szCs w:val="28"/>
          <w:lang w:val="en-US" w:eastAsia="zh-CN"/>
        </w:rPr>
        <w:t>（%）</w:t>
      </w:r>
      <w:r>
        <w:rPr>
          <w:rFonts w:hint="default" w:ascii="仿宋_GB2312" w:hAnsi="仿宋" w:eastAsia="仿宋_GB2312"/>
          <w:sz w:val="28"/>
          <w:szCs w:val="28"/>
          <w:lang w:val="en-US" w:eastAsia="zh-CN"/>
        </w:rPr>
        <w:t>≥</w:t>
      </w:r>
      <w:r>
        <w:rPr>
          <w:rFonts w:hint="eastAsia" w:ascii="仿宋_GB2312" w:hAnsi="仿宋" w:eastAsia="仿宋_GB2312"/>
          <w:sz w:val="28"/>
          <w:szCs w:val="28"/>
          <w:lang w:val="en-US" w:eastAsia="zh-CN"/>
        </w:rPr>
        <w:t>95%。</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欣悦湖学校专项奖励基金经费</w:t>
      </w:r>
      <w:r>
        <w:rPr>
          <w:rFonts w:hint="eastAsia" w:ascii="仿宋_GB2312" w:hAnsi="仿宋" w:eastAsia="仿宋_GB2312"/>
          <w:sz w:val="28"/>
          <w:szCs w:val="28"/>
          <w:lang w:val="en-US" w:eastAsia="zh-CN"/>
        </w:rPr>
        <w:t>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由区财政解决南昌市二十八中集团总校品牌使用费及委托管理费、专项奖励基金经费</w:t>
      </w:r>
      <w:r>
        <w:rPr>
          <w:rFonts w:hint="eastAsia" w:ascii="仿宋_GB2312" w:hAnsi="仿宋" w:eastAsia="仿宋_GB2312"/>
          <w:sz w:val="28"/>
          <w:szCs w:val="28"/>
          <w:lang w:val="en-US" w:eastAsia="zh-CN"/>
        </w:rPr>
        <w:t>。</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年初预算安排资金110万元。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绩效目标：为进一步推动优质教育资源拓展，拓宽优质学校的覆盖面，促进义务教育育优质均衡发展，不断满足新建区居民对优质教育的需求</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产出指标：1、数量指标：优质学校办学规模小学教学班=42个、优质学校办学规模初中教学班=30个</w:t>
      </w:r>
      <w:r>
        <w:rPr>
          <w:rFonts w:hint="eastAsia" w:ascii="仿宋_GB2312" w:hAnsi="仿宋" w:eastAsia="仿宋_GB2312"/>
          <w:sz w:val="28"/>
          <w:szCs w:val="28"/>
          <w:lang w:val="en-US" w:eastAsia="zh-CN"/>
        </w:rPr>
        <w:t>；2、质量指标：拨付品牌使用及委托管理费、专项奖劢基金经费的合规性</w:t>
      </w:r>
      <w:r>
        <w:rPr>
          <w:rFonts w:hint="eastAsia" w:ascii="仿宋_GB2312" w:hAnsi="仿宋" w:eastAsia="仿宋_GB2312"/>
          <w:sz w:val="28"/>
          <w:szCs w:val="28"/>
          <w:lang w:val="en-US" w:eastAsia="zh-CN"/>
        </w:rPr>
        <w:t>=100%；3、时效指标：拨付品牌使用及委托管理费、专项奖劢基金经费的及时性</w:t>
      </w:r>
      <w:r>
        <w:rPr>
          <w:rFonts w:hint="eastAsia" w:ascii="仿宋_GB2312" w:hAnsi="仿宋" w:eastAsia="仿宋_GB2312"/>
          <w:sz w:val="28"/>
          <w:szCs w:val="28"/>
          <w:lang w:val="en-US" w:eastAsia="zh-CN"/>
        </w:rPr>
        <w:t>=100%；4、成本指标：教师培训及教育育教学专项奖励基金经费=50万</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效益指标：社会效益指标：优质教育均衡发展提升率</w:t>
      </w:r>
      <w:r>
        <w:rPr>
          <w:rFonts w:hint="eastAsia" w:ascii="仿宋_GB2312" w:hAnsi="仿宋" w:eastAsia="仿宋_GB2312"/>
          <w:sz w:val="28"/>
          <w:szCs w:val="28"/>
          <w:lang w:val="en-US" w:eastAsia="zh-CN"/>
        </w:rPr>
        <w:t>=10%。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满意度指标：家长、师生满意率≥　</w:t>
      </w:r>
      <w:r>
        <w:rPr>
          <w:rFonts w:hint="eastAsia" w:ascii="仿宋_GB2312" w:hAnsi="仿宋" w:eastAsia="仿宋_GB2312"/>
          <w:sz w:val="28"/>
          <w:szCs w:val="28"/>
          <w:lang w:val="en-US" w:eastAsia="zh-CN"/>
        </w:rPr>
        <w:t>95%。</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教体局行政运行工作经费项目情况说明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教体局水电费、维修费、印刷费等日常开支及办公设备、家具购置等支出。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年初预算安排资金125万元。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w:t>
      </w:r>
      <w:r>
        <w:rPr>
          <w:rFonts w:hint="default" w:ascii="仿宋_GB2312" w:hAnsi="仿宋" w:eastAsia="仿宋_GB2312"/>
          <w:sz w:val="28"/>
          <w:szCs w:val="28"/>
          <w:lang w:val="en-US" w:eastAsia="zh-CN"/>
        </w:rPr>
        <w:t>保障教体局工作正常运行</w:t>
      </w:r>
      <w:r>
        <w:rPr>
          <w:rFonts w:hint="eastAsia" w:ascii="仿宋_GB2312" w:hAnsi="仿宋" w:eastAsia="仿宋_GB2312"/>
          <w:sz w:val="28"/>
          <w:szCs w:val="28"/>
          <w:lang w:val="en-US" w:eastAsia="zh-CN"/>
        </w:rPr>
        <w:t>，促进教育与体育事业发展</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w:t>
      </w:r>
      <w:r>
        <w:rPr>
          <w:rFonts w:hint="default" w:ascii="仿宋_GB2312" w:hAnsi="仿宋" w:eastAsia="仿宋_GB2312"/>
          <w:sz w:val="28"/>
          <w:szCs w:val="28"/>
          <w:lang w:val="en-US" w:eastAsia="zh-CN"/>
        </w:rPr>
        <w:t>各项日常保障运转业务项目按时结算</w:t>
      </w:r>
      <w:r>
        <w:rPr>
          <w:rFonts w:hint="eastAsia" w:ascii="仿宋_GB2312" w:hAnsi="仿宋" w:eastAsia="仿宋_GB2312"/>
          <w:sz w:val="28"/>
          <w:szCs w:val="28"/>
          <w:lang w:val="en-US" w:eastAsia="zh-CN"/>
        </w:rPr>
        <w:t>率</w:t>
      </w:r>
      <w:r>
        <w:rPr>
          <w:rFonts w:hint="eastAsia" w:ascii="仿宋_GB2312" w:hAnsi="仿宋" w:eastAsia="仿宋_GB2312"/>
          <w:sz w:val="28"/>
          <w:szCs w:val="28"/>
          <w:lang w:val="en-US" w:eastAsia="zh-CN"/>
        </w:rPr>
        <w:t>=100%；2、质量指标：</w:t>
      </w:r>
      <w:r>
        <w:rPr>
          <w:rFonts w:hint="default" w:ascii="仿宋_GB2312" w:hAnsi="仿宋" w:eastAsia="仿宋_GB2312"/>
          <w:sz w:val="28"/>
          <w:szCs w:val="28"/>
          <w:lang w:val="en-US" w:eastAsia="zh-CN"/>
        </w:rPr>
        <w:t>各类办公用品、办公家具购置验收合格率</w:t>
      </w:r>
      <w:r>
        <w:rPr>
          <w:rFonts w:hint="eastAsia" w:ascii="仿宋_GB2312" w:hAnsi="仿宋" w:eastAsia="仿宋_GB2312"/>
          <w:sz w:val="28"/>
          <w:szCs w:val="28"/>
          <w:lang w:val="en-US" w:eastAsia="zh-CN"/>
        </w:rPr>
        <w:t>=100%；3、时效指标：</w:t>
      </w:r>
      <w:r>
        <w:rPr>
          <w:rFonts w:hint="default" w:ascii="仿宋_GB2312" w:hAnsi="仿宋" w:eastAsia="仿宋_GB2312"/>
          <w:sz w:val="28"/>
          <w:szCs w:val="28"/>
          <w:lang w:val="en-US" w:eastAsia="zh-CN"/>
        </w:rPr>
        <w:t>各项工作完成</w:t>
      </w:r>
      <w:r>
        <w:rPr>
          <w:rFonts w:hint="eastAsia" w:ascii="仿宋_GB2312" w:hAnsi="仿宋" w:eastAsia="仿宋_GB2312"/>
          <w:sz w:val="28"/>
          <w:szCs w:val="28"/>
          <w:lang w:val="en-US" w:eastAsia="zh-CN"/>
        </w:rPr>
        <w:t>=100%；4、成本指标：成本控制率</w:t>
      </w:r>
      <w:r>
        <w:rPr>
          <w:rFonts w:hint="eastAsia" w:ascii="仿宋_GB2312" w:hAnsi="仿宋" w:eastAsia="仿宋_GB2312"/>
          <w:sz w:val="28"/>
          <w:szCs w:val="28"/>
          <w:lang w:val="en-US" w:eastAsia="zh-CN"/>
        </w:rPr>
        <w:t>=100%　</w:t>
      </w:r>
      <w:r>
        <w:rPr>
          <w:rFonts w:hint="eastAsia" w:ascii="仿宋_GB2312" w:hAnsi="仿宋" w:eastAsia="仿宋_GB2312"/>
          <w:sz w:val="28"/>
          <w:szCs w:val="28"/>
          <w:lang w:val="en-US" w:eastAsia="zh-CN"/>
        </w:rPr>
        <w:t>。</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w:t>
      </w:r>
      <w:r>
        <w:rPr>
          <w:rFonts w:hint="default" w:ascii="仿宋_GB2312" w:hAnsi="仿宋" w:eastAsia="仿宋_GB2312"/>
          <w:sz w:val="28"/>
          <w:szCs w:val="28"/>
          <w:lang w:val="en-US" w:eastAsia="zh-CN"/>
        </w:rPr>
        <w:t>机关业务正常运转率</w:t>
      </w:r>
      <w:r>
        <w:rPr>
          <w:rFonts w:hint="eastAsia" w:ascii="仿宋_GB2312" w:hAnsi="仿宋" w:eastAsia="仿宋_GB2312"/>
          <w:sz w:val="28"/>
          <w:szCs w:val="28"/>
          <w:lang w:val="en-US" w:eastAsia="zh-CN"/>
        </w:rPr>
        <w:t>=100%。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w:t>
      </w:r>
      <w:r>
        <w:rPr>
          <w:rFonts w:hint="default" w:ascii="仿宋_GB2312" w:hAnsi="仿宋" w:eastAsia="仿宋_GB2312"/>
          <w:sz w:val="28"/>
          <w:szCs w:val="28"/>
          <w:lang w:val="en-US" w:eastAsia="zh-CN"/>
        </w:rPr>
        <w:t>各业务处室满意度</w:t>
      </w:r>
      <w:r>
        <w:rPr>
          <w:rFonts w:hint="eastAsia" w:ascii="仿宋_GB2312" w:hAnsi="仿宋" w:eastAsia="仿宋_GB2312"/>
          <w:sz w:val="28"/>
          <w:szCs w:val="28"/>
          <w:lang w:val="en-US" w:eastAsia="zh-CN"/>
        </w:rPr>
        <w:t>=100%。</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中高考工作运行经费</w:t>
      </w:r>
      <w:r>
        <w:rPr>
          <w:rFonts w:hint="eastAsia" w:ascii="仿宋_GB2312" w:hAnsi="仿宋" w:eastAsia="仿宋_GB2312"/>
          <w:sz w:val="28"/>
          <w:szCs w:val="28"/>
          <w:lang w:val="en-US" w:eastAsia="zh-CN"/>
        </w:rPr>
        <w:t>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中高考考点工作经费如考场布置费、水电费、修缮费等，保障中高考顺利进行</w:t>
      </w:r>
      <w:r>
        <w:rPr>
          <w:rFonts w:hint="eastAsia" w:ascii="仿宋_GB2312" w:hAnsi="仿宋" w:eastAsia="仿宋_GB2312"/>
          <w:sz w:val="28"/>
          <w:szCs w:val="28"/>
          <w:lang w:val="en-US" w:eastAsia="zh-CN"/>
        </w:rPr>
        <w:t>。</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年初预算安排资金100万元。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绩效目标：保障中高考顺利进行。</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全区参与中高考学生数=15070人；2、质量指标：中高考工作经费拨付合规性=100%；3、时效指标：中高考工作经费拨付及时率（%）=100%；4、成本指标：每个中高考考场运行工作经费成本控制率=100%。</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效益指标：社会效益指标：对中高考工作的认同度≥95%。</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满意度指标：家长师生满意度（%）≥95%。</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教师招聘工作经费项目情况说明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为新建区教育招聘优秀教师，促进教育发展。</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年初预算安排资金80万元。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绩效目标：保障教师招聘工作正常进行。</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产出指标：1、数量指标：招聘教师数≤100人；2、质量指标：招聘教师符合招聘条件率=100%；3、时效指标：招聘教师工作完成率=100%；4、成本指标：成本控制率=100%。</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效益指标：社会效益指标：保障教师招聘工作的正常运转和有序推进=100%。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满意度指标：社会满意度（%）=100%。</w:t>
      </w:r>
    </w:p>
    <w:p>
      <w:pPr>
        <w:spacing w:line="560" w:lineRule="exact"/>
        <w:ind w:firstLine="560" w:firstLineChars="200"/>
        <w:rPr>
          <w:rFonts w:hint="eastAsia" w:ascii="仿宋_GB2312" w:hAnsi="仿宋" w:eastAsia="仿宋_GB2312"/>
          <w:sz w:val="28"/>
          <w:szCs w:val="28"/>
          <w:lang w:val="en-US" w:eastAsia="zh-CN"/>
        </w:rPr>
      </w:pP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教师节慰问工作经费项目情况说明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1）项目概述</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教师节慰问优秀教师、优秀教育工作者。</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2）实施主体</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南昌市新建区教育体育局</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3）实施周期</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2023年1月1日-2023年12月31日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4）年度预算安排</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年初预算安排资金40万元。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5）绩效目标和指标</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绩效目标：教师节慰问优秀教师、优秀教育工作者。</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产出指标：1、数量指标：慰问优秀教师和工作者人数≤300人；2、质量指标：慰问教师和工作者优秀率=100%；3、时效指标：资金拨付及时率=100%；4、成本指标：成本控制率=100%。</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效益指标：社会效益指标：提升尊师重教的社会风气=100%。</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满意度指标：学校及教师满意度≥95%。</w:t>
      </w:r>
    </w:p>
    <w:p>
      <w:pPr>
        <w:pStyle w:val="2"/>
        <w:rPr>
          <w:rFonts w:hint="eastAsia" w:ascii="仿宋_GB2312" w:hAnsi="仿宋" w:eastAsia="仿宋_GB2312"/>
          <w:sz w:val="28"/>
          <w:szCs w:val="28"/>
          <w:lang w:val="en-US" w:eastAsia="zh-CN"/>
        </w:rPr>
      </w:pPr>
    </w:p>
    <w:p>
      <w:pPr>
        <w:pStyle w:val="2"/>
        <w:rPr>
          <w:rFonts w:hint="eastAsia" w:ascii="仿宋_GB2312" w:hAnsi="仿宋" w:eastAsia="仿宋_GB2312"/>
          <w:sz w:val="28"/>
          <w:szCs w:val="28"/>
          <w:lang w:val="en-US" w:eastAsia="zh-CN"/>
        </w:rPr>
      </w:pPr>
    </w:p>
    <w:p>
      <w:pPr>
        <w:spacing w:line="560" w:lineRule="exact"/>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二、2023年“三公”经费预算情况说明</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2023年南昌市新建区教育体育局“三公”经费一般公共预算安排92万元。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其中：因公出国（境）费0万元，比上年增（减）0 万元。</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公务接待费50万元，比上年增（减）0万元 。</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公务用车运行维护费42万元，比上年增（减）0万元 。</w:t>
      </w:r>
    </w:p>
    <w:p>
      <w:pPr>
        <w:spacing w:line="560" w:lineRule="exact"/>
        <w:jc w:val="center"/>
        <w:rPr>
          <w:rFonts w:ascii="Times New Roman" w:hAnsi="Times New Roman" w:eastAsia="仿宋_GB2312"/>
          <w:spacing w:val="10"/>
          <w:sz w:val="32"/>
          <w:szCs w:val="32"/>
        </w:rPr>
      </w:pPr>
    </w:p>
    <w:p>
      <w:pPr>
        <w:spacing w:line="560" w:lineRule="exact"/>
        <w:ind w:firstLine="680" w:firstLineChars="200"/>
        <w:jc w:val="both"/>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一、收入科目</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（一）财政拨款：指财政当年拨付的资金。</w:t>
      </w:r>
    </w:p>
    <w:p>
      <w:pPr>
        <w:bidi w:val="0"/>
        <w:rPr>
          <w:rFonts w:hint="eastAsia" w:ascii="Arial" w:hAnsi="Arial" w:eastAsia="宋体" w:cs="Arial"/>
          <w:color w:val="000000"/>
          <w:kern w:val="0"/>
          <w:sz w:val="21"/>
          <w:szCs w:val="21"/>
          <w:lang w:val="en-US" w:eastAsia="zh-CN" w:bidi="ar-SA"/>
        </w:rPr>
      </w:pPr>
    </w:p>
    <w:p>
      <w:pPr>
        <w:bidi w:val="0"/>
        <w:jc w:val="left"/>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（二） 教育收费资金收入：反映实行专项管理的高中以上学费、住</w:t>
      </w:r>
    </w:p>
    <w:p>
      <w:pPr>
        <w:bidi w:val="0"/>
        <w:rPr>
          <w:rFonts w:hint="eastAsia" w:ascii="Arial" w:hAnsi="Arial" w:eastAsia="宋体" w:cs="Arial"/>
          <w:color w:val="000000"/>
          <w:kern w:val="0"/>
          <w:sz w:val="21"/>
          <w:szCs w:val="21"/>
          <w:lang w:val="en-US" w:eastAsia="zh-CN" w:bidi="ar-SA"/>
        </w:rPr>
      </w:pPr>
    </w:p>
    <w:p>
      <w:pPr>
        <w:bidi w:val="0"/>
        <w:jc w:val="left"/>
        <w:rPr>
          <w:rFonts w:hint="eastAsia"/>
          <w:lang w:val="en-US" w:eastAsia="zh-CN"/>
        </w:rPr>
      </w:pPr>
      <w:r>
        <w:rPr>
          <w:rFonts w:hint="eastAsia" w:ascii="仿宋_GB2312" w:hAnsi="仿宋" w:eastAsia="仿宋_GB2312"/>
          <w:sz w:val="28"/>
          <w:szCs w:val="28"/>
          <w:lang w:val="en-US" w:eastAsia="zh-CN"/>
        </w:rPr>
        <w:t>宿费，高校委托培养费，函大、电大、夜大及短训班培训费等教育收费取</w:t>
      </w:r>
    </w:p>
    <w:p>
      <w:pPr>
        <w:spacing w:line="560" w:lineRule="exact"/>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得的收入。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（三）事业收入：指事业单位开展专业业务活动及辅助活动取得的收入。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（四）事业单位经营收入： 指事业单位在专业业务活动及辅助活动之外开展非独立核算经营活动取得的收入。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（五）附属单位上缴收入：反映事业单位附属的独立核算单位按规定标准或比例缴纳的各项收入。包括附属的事业单位上缴的收入和附属的企业上缴的利润等。</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（六） 上级补助收入：反映事业单位从主管部门和上级单位取得的非财政补助收入。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（七）其他收入： 指除财政拨款、事业收入、事业单位经营收入等以外的各项收入。</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（八） 使用非财政拨款结余：填列历年滚存的非限定用途 的非统计财政拨款结余弥补2023年收支差额的数额。</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（九）上年结转和结余：填列2022年全部结转和结余的资金数，包括当年结转结余资金和历年滚存结转结余资金。</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二、支出科目</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教育支出：反映政府教育事务支出。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教育管理事务：反映教育管理方面的支出。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行政运行（教育管理事务）：反映行政单位（包括实行公务员管理的事业单位）的基本支出。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其他教育管理事务支出：反映除行政运行、一般行政管理事务、机关服务以外其他用于教育管理事务方面的支出。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普通教育支出：反映各类普通教育支出。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其他普通教育支出：反映除学前教育、小学教育、初中教育、高中教育、高等教育以外其他用于普通教育方面的支出。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文化旅游体育与传媒支出：反映政府在文化、旅游、文物、体育、广播电视、电影、新闻出版等方面的支出。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其他体育支出：反映其他体育反面的支出。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机关事业单位基本养老保险缴费支出：反映机关事业单位实施养老保险制度由单位实际缴纳的基本养老保险费支出。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其他社会保障和就业支出：反映其他用于社会保障和就业支出。</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行政单位医疗：反映财政部门安排的行政单位（包括实行公务员管理的事业单位）基本医疗保险缴费经费。</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公务员医疗补助：反映财政部门安排的公务员医疗补助经费。</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住房公积金：反映行政事业单位按人力资源和社会保障部、财政部规定的基本工资和津贴补贴以及规定比例为职工缴纳的住房公积金。</w:t>
      </w:r>
    </w:p>
    <w:p>
      <w:pPr>
        <w:spacing w:line="560" w:lineRule="exact"/>
        <w:ind w:firstLine="560" w:firstLineChars="200"/>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三、部门涉及的专业名词</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高中教育：反映各部门举办的高级中学教育支出。</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职业高中教育：反映各部门举办职业中学教育支出。</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初中教育：反映各部门举办的初中教育支出。</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小学教育：反映各部门举办的小学教育支出。</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学前教育：反映各部门举办的学前教育支出。</w:t>
      </w:r>
    </w:p>
    <w:p>
      <w:pPr>
        <w:spacing w:line="560" w:lineRule="exact"/>
        <w:ind w:firstLine="560" w:firstLineChars="200"/>
        <w:rPr>
          <w:rFonts w:hint="default" w:ascii="仿宋_GB2312" w:hAnsi="仿宋" w:eastAsia="仿宋_GB2312"/>
          <w:sz w:val="28"/>
          <w:szCs w:val="28"/>
          <w:lang w:val="en-US" w:eastAsia="zh-CN"/>
        </w:rPr>
      </w:pPr>
      <w:r>
        <w:rPr>
          <w:rFonts w:hint="eastAsia" w:ascii="仿宋_GB2312" w:hAnsi="仿宋" w:eastAsia="仿宋_GB2312"/>
          <w:sz w:val="28"/>
          <w:szCs w:val="28"/>
          <w:lang w:val="en-US" w:eastAsia="zh-CN"/>
        </w:rPr>
        <w:t>特殊学校教育：反映各部门举办盲童学校、聋哑学校、智力落后儿童学校、其他生理缺陷儿童学校的支出。</w:t>
      </w:r>
    </w:p>
    <w:p>
      <w:pPr>
        <w:spacing w:line="560" w:lineRule="exact"/>
        <w:ind w:firstLine="560" w:firstLineChars="200"/>
        <w:rPr>
          <w:rFonts w:hint="eastAsia" w:ascii="仿宋_GB2312" w:hAnsi="仿宋" w:eastAsia="仿宋_GB2312"/>
          <w:sz w:val="28"/>
          <w:szCs w:val="28"/>
          <w:lang w:val="en-US" w:eastAsia="zh-CN"/>
        </w:rPr>
        <w:sectPr>
          <w:footerReference r:id="rId4" w:type="default"/>
          <w:pgSz w:w="11900" w:h="16820"/>
          <w:pgMar w:top="1417" w:right="1417" w:bottom="1417" w:left="1417" w:header="0" w:footer="1097" w:gutter="0"/>
          <w:pgNumType w:fmt="numberInDash"/>
          <w:cols w:space="720" w:num="1"/>
        </w:sectPr>
      </w:pPr>
      <w:r>
        <w:rPr>
          <w:rFonts w:hint="eastAsia" w:ascii="仿宋_GB2312" w:hAnsi="仿宋" w:eastAsia="仿宋_GB2312"/>
          <w:sz w:val="28"/>
          <w:szCs w:val="28"/>
          <w:lang w:val="en-US" w:eastAsia="zh-CN"/>
        </w:rPr>
        <w:t>教师进修：反映教师进修、师资培训支出。</w:t>
      </w:r>
    </w:p>
    <w:p>
      <w:pPr>
        <w:spacing w:line="300" w:lineRule="auto"/>
      </w:pPr>
    </w:p>
    <w:p>
      <w:pPr>
        <w:spacing w:line="301" w:lineRule="auto"/>
      </w:pPr>
    </w:p>
    <w:p>
      <w:pPr>
        <w:spacing w:line="301" w:lineRule="auto"/>
      </w:pPr>
    </w:p>
    <w:p>
      <w:pPr>
        <w:pStyle w:val="2"/>
      </w:pPr>
    </w:p>
    <w:sectPr>
      <w:footerReference r:id="rId5" w:type="default"/>
      <w:pgSz w:w="11900" w:h="16820"/>
      <w:pgMar w:top="1417" w:right="1417" w:bottom="1417" w:left="1417" w:header="0" w:footer="102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5" w:lineRule="exact"/>
      <w:ind w:firstLine="7759"/>
      <w:rPr>
        <w:rFonts w:ascii="楷体" w:hAnsi="楷体" w:eastAsia="楷体"/>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exact"/>
      <w:ind w:firstLine="7739"/>
      <w:rPr>
        <w:rFonts w:ascii="幼圆" w:hAnsi="幼圆" w:eastAsia="幼圆"/>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55F9E0"/>
    <w:multiLevelType w:val="singleLevel"/>
    <w:tmpl w:val="4355F9E0"/>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NkYjUyODgwM2RkMjhjZTg5MWJiYjRkMDE5YmEzMmMifQ=="/>
  </w:docVars>
  <w:rsids>
    <w:rsidRoot w:val="000752C5"/>
    <w:rsid w:val="0002340D"/>
    <w:rsid w:val="000752C5"/>
    <w:rsid w:val="002C7D27"/>
    <w:rsid w:val="003C28DE"/>
    <w:rsid w:val="004F5D4B"/>
    <w:rsid w:val="00EB63A7"/>
    <w:rsid w:val="04860884"/>
    <w:rsid w:val="060D2094"/>
    <w:rsid w:val="07277371"/>
    <w:rsid w:val="08054717"/>
    <w:rsid w:val="08352405"/>
    <w:rsid w:val="084C5688"/>
    <w:rsid w:val="0C151381"/>
    <w:rsid w:val="0C575CE1"/>
    <w:rsid w:val="0CC22E1B"/>
    <w:rsid w:val="102E09C1"/>
    <w:rsid w:val="11D1755B"/>
    <w:rsid w:val="12A33292"/>
    <w:rsid w:val="12A54313"/>
    <w:rsid w:val="15F5244D"/>
    <w:rsid w:val="178E0F6A"/>
    <w:rsid w:val="18C9062F"/>
    <w:rsid w:val="193C39BC"/>
    <w:rsid w:val="197E34B7"/>
    <w:rsid w:val="1AD721AD"/>
    <w:rsid w:val="1C2A1B03"/>
    <w:rsid w:val="1CCF6322"/>
    <w:rsid w:val="1DB950F3"/>
    <w:rsid w:val="20210EAA"/>
    <w:rsid w:val="21D537A6"/>
    <w:rsid w:val="21DA1D2E"/>
    <w:rsid w:val="21F104D3"/>
    <w:rsid w:val="24D53AAE"/>
    <w:rsid w:val="256A7A95"/>
    <w:rsid w:val="26220F7D"/>
    <w:rsid w:val="26FE5106"/>
    <w:rsid w:val="288162A4"/>
    <w:rsid w:val="295126A7"/>
    <w:rsid w:val="29904308"/>
    <w:rsid w:val="2BD15D21"/>
    <w:rsid w:val="2C6E17C2"/>
    <w:rsid w:val="2C9A4365"/>
    <w:rsid w:val="2D2D36E3"/>
    <w:rsid w:val="2D4F15F3"/>
    <w:rsid w:val="2DDC44BD"/>
    <w:rsid w:val="2E823E76"/>
    <w:rsid w:val="2E916A87"/>
    <w:rsid w:val="2EE746F0"/>
    <w:rsid w:val="300E7849"/>
    <w:rsid w:val="305111DE"/>
    <w:rsid w:val="305B2BBC"/>
    <w:rsid w:val="305E0214"/>
    <w:rsid w:val="308D017B"/>
    <w:rsid w:val="30A25EDE"/>
    <w:rsid w:val="3535269B"/>
    <w:rsid w:val="36FE29F7"/>
    <w:rsid w:val="37C26FE7"/>
    <w:rsid w:val="3A3E6C77"/>
    <w:rsid w:val="3AC727C9"/>
    <w:rsid w:val="3AE17F93"/>
    <w:rsid w:val="3B787F67"/>
    <w:rsid w:val="3C375C7A"/>
    <w:rsid w:val="3DEE3435"/>
    <w:rsid w:val="3F6C7DE3"/>
    <w:rsid w:val="40251411"/>
    <w:rsid w:val="415157BF"/>
    <w:rsid w:val="441B2090"/>
    <w:rsid w:val="45AE744C"/>
    <w:rsid w:val="46740641"/>
    <w:rsid w:val="46CB57D1"/>
    <w:rsid w:val="48795909"/>
    <w:rsid w:val="4A022010"/>
    <w:rsid w:val="4B123A6E"/>
    <w:rsid w:val="4B375D99"/>
    <w:rsid w:val="4B3C623A"/>
    <w:rsid w:val="4CE52F83"/>
    <w:rsid w:val="4F3D26C8"/>
    <w:rsid w:val="4FB659D8"/>
    <w:rsid w:val="507D33F8"/>
    <w:rsid w:val="50DA30EA"/>
    <w:rsid w:val="53B536AF"/>
    <w:rsid w:val="54043747"/>
    <w:rsid w:val="55186B54"/>
    <w:rsid w:val="57250400"/>
    <w:rsid w:val="57697D57"/>
    <w:rsid w:val="589153F0"/>
    <w:rsid w:val="5A6546FC"/>
    <w:rsid w:val="5D2C7194"/>
    <w:rsid w:val="5DC012A8"/>
    <w:rsid w:val="5E4C7B5E"/>
    <w:rsid w:val="60103532"/>
    <w:rsid w:val="606F72DB"/>
    <w:rsid w:val="610234DB"/>
    <w:rsid w:val="64A53B64"/>
    <w:rsid w:val="65D531AC"/>
    <w:rsid w:val="67A23AF2"/>
    <w:rsid w:val="69D24ABB"/>
    <w:rsid w:val="6E554407"/>
    <w:rsid w:val="6E571528"/>
    <w:rsid w:val="6F5C4ECE"/>
    <w:rsid w:val="70675B12"/>
    <w:rsid w:val="72973D7B"/>
    <w:rsid w:val="73162C2B"/>
    <w:rsid w:val="737B3401"/>
    <w:rsid w:val="73DE170A"/>
    <w:rsid w:val="760616F0"/>
    <w:rsid w:val="78F7033D"/>
    <w:rsid w:val="78FD0CF7"/>
    <w:rsid w:val="797A48CF"/>
    <w:rsid w:val="7A7751A0"/>
    <w:rsid w:val="7DCA13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Body Text Indent 2"/>
    <w:basedOn w:val="1"/>
    <w:unhideWhenUsed/>
    <w:qFormat/>
    <w:uiPriority w:val="99"/>
    <w:pPr>
      <w:spacing w:after="120" w:line="480" w:lineRule="auto"/>
      <w:ind w:left="420" w:leftChars="200"/>
    </w:pPr>
    <w:rPr>
      <w:rFonts w:ascii="Calibri" w:hAnsi="Calibri"/>
    </w:rPr>
  </w:style>
  <w:style w:type="paragraph" w:styleId="4">
    <w:name w:val="footer"/>
    <w:basedOn w:val="1"/>
    <w:link w:val="9"/>
    <w:qFormat/>
    <w:uiPriority w:val="99"/>
    <w:pPr>
      <w:tabs>
        <w:tab w:val="center" w:pos="4153"/>
        <w:tab w:val="right" w:pos="8306"/>
      </w:tabs>
    </w:pPr>
    <w:rPr>
      <w:sz w:val="18"/>
      <w:szCs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table" w:styleId="7">
    <w:name w:val="Table Grid"/>
    <w:basedOn w:val="6"/>
    <w:qFormat/>
    <w:uiPriority w:val="99"/>
    <w:pPr>
      <w:widowControl w:val="0"/>
      <w:jc w:val="both"/>
    </w:pPr>
    <w:rPr>
      <w:rFonts w:ascii="Calibri" w:hAnsi="Calibri" w:eastAsia="微软雅黑"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oter Char"/>
    <w:basedOn w:val="8"/>
    <w:link w:val="4"/>
    <w:semiHidden/>
    <w:qFormat/>
    <w:uiPriority w:val="99"/>
    <w:rPr>
      <w:color w:val="000000"/>
      <w:kern w:val="0"/>
      <w:sz w:val="18"/>
      <w:szCs w:val="18"/>
    </w:rPr>
  </w:style>
  <w:style w:type="character" w:customStyle="1" w:styleId="10">
    <w:name w:val="Header Char"/>
    <w:basedOn w:val="8"/>
    <w:link w:val="5"/>
    <w:semiHidden/>
    <w:qFormat/>
    <w:uiPriority w:val="99"/>
    <w:rPr>
      <w:color w:val="000000"/>
      <w:kern w:val="0"/>
      <w:sz w:val="18"/>
      <w:szCs w:val="18"/>
    </w:rPr>
  </w:style>
  <w:style w:type="table" w:customStyle="1" w:styleId="11">
    <w:name w:val="Table Normal1"/>
    <w:semiHidden/>
    <w:qFormat/>
    <w:uiPriority w:val="99"/>
    <w:rPr>
      <w:kern w:val="0"/>
      <w:sz w:val="20"/>
      <w:szCs w:val="20"/>
    </w:rPr>
    <w:tblPr>
      <w:tblCellMar>
        <w:top w:w="0" w:type="dxa"/>
        <w:left w:w="0" w:type="dxa"/>
        <w:bottom w:w="0" w:type="dxa"/>
        <w:right w:w="0" w:type="dxa"/>
      </w:tblCellMar>
    </w:tblPr>
  </w:style>
  <w:style w:type="character" w:customStyle="1" w:styleId="12">
    <w:name w:val="font1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CN</Company>
  <Pages>25</Pages>
  <Words>9199</Words>
  <Characters>10085</Characters>
  <Lines>0</Lines>
  <Paragraphs>0</Paragraphs>
  <TotalTime>122</TotalTime>
  <ScaleCrop>false</ScaleCrop>
  <LinksUpToDate>false</LinksUpToDate>
  <CharactersWithSpaces>10168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Administrator</cp:lastModifiedBy>
  <cp:lastPrinted>2022-03-04T02:16:00Z</cp:lastPrinted>
  <dcterms:modified xsi:type="dcterms:W3CDTF">2023-03-09T12:25:23Z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2052-11.1.0.13703</vt:lpwstr>
  </property>
  <property fmtid="{D5CDD505-2E9C-101B-9397-08002B2CF9AE}" pid="4" name="ICV">
    <vt:lpwstr>67FD14B47927424F881C70EFE4E36DCB</vt:lpwstr>
  </property>
</Properties>
</file>