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方正小标宋简体"/>
          <w:sz w:val="44"/>
          <w:szCs w:val="44"/>
        </w:rPr>
      </w:pPr>
      <w:bookmarkStart w:id="0" w:name="_Toc24040"/>
      <w:bookmarkStart w:id="1" w:name="_Toc510971186"/>
      <w:bookmarkStart w:id="2" w:name="_Toc512778524"/>
      <w:bookmarkStart w:id="3" w:name="_Toc9612072"/>
      <w:bookmarkStart w:id="4" w:name="_Toc512441855"/>
      <w:bookmarkStart w:id="5" w:name="_Toc10207206"/>
      <w:bookmarkStart w:id="6" w:name="_Toc16903"/>
      <w:bookmarkStart w:id="7" w:name="_Toc23598"/>
      <w:bookmarkStart w:id="8" w:name="_Toc22176"/>
      <w:bookmarkStart w:id="9" w:name="_Toc9514420"/>
      <w:bookmarkStart w:id="10" w:name="_Toc19557"/>
      <w:bookmarkStart w:id="11" w:name="_Toc955"/>
      <w:bookmarkStart w:id="12" w:name="_Toc16285"/>
      <w:bookmarkStart w:id="13" w:name="_Toc640"/>
      <w:bookmarkStart w:id="14" w:name="_Toc11217"/>
      <w:bookmarkStart w:id="15" w:name="_Toc7336361"/>
      <w:bookmarkStart w:id="16" w:name="_Toc4630"/>
      <w:bookmarkStart w:id="17" w:name="_Toc15369"/>
      <w:r>
        <w:rPr>
          <w:rFonts w:hint="eastAsia" w:ascii="方正小标宋简体" w:hAnsi="宋体" w:eastAsia="方正小标宋简体" w:cs="方正小标宋简体"/>
          <w:sz w:val="44"/>
          <w:szCs w:val="44"/>
        </w:rPr>
        <w:t>项目支出部门评价报告</w:t>
      </w:r>
    </w:p>
    <w:p>
      <w:pPr>
        <w:spacing w:line="578" w:lineRule="exact"/>
        <w:rPr>
          <w:rFonts w:ascii="仿宋" w:hAnsi="仿宋" w:eastAsia="仿宋"/>
          <w:sz w:val="28"/>
          <w:szCs w:val="28"/>
        </w:rPr>
      </w:pPr>
    </w:p>
    <w:p>
      <w:pPr>
        <w:spacing w:line="578" w:lineRule="exact"/>
        <w:ind w:left="1600" w:hanging="1600" w:hangingChars="500"/>
        <w:rPr>
          <w:rFonts w:hint="eastAsia" w:ascii="黑体" w:hAnsi="黑体" w:eastAsia="黑体" w:cs="黑体"/>
          <w:sz w:val="32"/>
          <w:szCs w:val="32"/>
        </w:rPr>
      </w:pPr>
    </w:p>
    <w:p>
      <w:pPr>
        <w:spacing w:line="600" w:lineRule="atLeast"/>
        <w:rPr>
          <w:rFonts w:eastAsia="仿宋_GB2312" w:cs="仿宋_GB2312"/>
          <w:sz w:val="32"/>
          <w:szCs w:val="32"/>
          <w:u w:val="single"/>
        </w:rPr>
      </w:pPr>
      <w:r>
        <w:rPr>
          <w:rFonts w:hint="eastAsia" w:ascii="方正小标宋简体" w:hAnsi="宋体" w:eastAsia="方正小标宋简体" w:cs="方正小标宋简体"/>
          <w:sz w:val="28"/>
          <w:szCs w:val="28"/>
        </w:rPr>
        <w:t>评价类型</w:t>
      </w:r>
      <w:r>
        <w:rPr>
          <w:rFonts w:hint="eastAsia" w:eastAsia="仿宋_GB2312" w:cs="仿宋_GB2312"/>
          <w:b/>
          <w:bCs/>
          <w:sz w:val="32"/>
          <w:szCs w:val="32"/>
        </w:rPr>
        <w:t>：</w:t>
      </w:r>
      <w:r>
        <w:rPr>
          <w:rFonts w:hint="eastAsia" w:eastAsia="仿宋_GB2312" w:cs="仿宋_GB2312"/>
          <w:b/>
          <w:bCs/>
          <w:sz w:val="32"/>
          <w:szCs w:val="32"/>
          <w:u w:val="single"/>
        </w:rPr>
        <w:t xml:space="preserve">   </w:t>
      </w:r>
      <w:r>
        <w:rPr>
          <w:rFonts w:hint="eastAsia" w:ascii="方正小标宋简体" w:hAnsi="宋体" w:eastAsia="方正小标宋简体" w:cs="方正小标宋简体"/>
          <w:sz w:val="28"/>
          <w:szCs w:val="28"/>
          <w:u w:val="single"/>
        </w:rPr>
        <w:t xml:space="preserve">□实施过程评价                  ☑完成结果评价 </w:t>
      </w:r>
    </w:p>
    <w:p>
      <w:pPr>
        <w:spacing w:line="578" w:lineRule="exact"/>
        <w:rPr>
          <w:rFonts w:hint="eastAsia" w:eastAsia="仿宋_GB2312" w:cs="仿宋_GB2312"/>
          <w:sz w:val="32"/>
          <w:szCs w:val="32"/>
        </w:rPr>
      </w:pPr>
    </w:p>
    <w:p>
      <w:pPr>
        <w:spacing w:line="600" w:lineRule="atLeast"/>
        <w:ind w:right="-13" w:rightChars="-6"/>
        <w:rPr>
          <w:rFonts w:hint="default" w:ascii="方正小标宋简体" w:hAnsi="宋体" w:eastAsia="方正小标宋简体" w:cs="方正小标宋简体"/>
          <w:sz w:val="28"/>
          <w:szCs w:val="28"/>
          <w:lang w:val="en-US" w:eastAsia="zh-CN"/>
        </w:rPr>
      </w:pPr>
      <w:r>
        <w:rPr>
          <w:rFonts w:hint="eastAsia" w:ascii="方正小标宋简体" w:hAnsi="宋体" w:eastAsia="方正小标宋简体" w:cs="方正小标宋简体"/>
          <w:sz w:val="28"/>
          <w:szCs w:val="28"/>
        </w:rPr>
        <w:t>项目名称：</w:t>
      </w:r>
      <w:r>
        <w:rPr>
          <w:rFonts w:hint="eastAsia" w:ascii="方正小标宋简体" w:hAnsi="宋体" w:eastAsia="方正小标宋简体" w:cs="方正小标宋简体"/>
          <w:sz w:val="28"/>
          <w:szCs w:val="28"/>
          <w:u w:val="thick"/>
        </w:rPr>
        <w:t xml:space="preserve">    </w:t>
      </w:r>
      <w:r>
        <w:rPr>
          <w:rFonts w:hint="eastAsia" w:ascii="方正小标宋简体" w:hAnsi="宋体" w:eastAsia="方正小标宋简体" w:cs="方正小标宋简体"/>
          <w:sz w:val="28"/>
          <w:szCs w:val="28"/>
          <w:u w:val="thick"/>
          <w:lang w:val="en-US" w:eastAsia="zh-CN"/>
        </w:rPr>
        <w:t xml:space="preserve">          教育系统师资培训费    </w:t>
      </w:r>
      <w:r>
        <w:rPr>
          <w:rFonts w:hint="eastAsia" w:ascii="方正小标宋简体" w:hAnsi="宋体" w:eastAsia="方正小标宋简体" w:cs="方正小标宋简体"/>
          <w:sz w:val="28"/>
          <w:szCs w:val="28"/>
          <w:u w:val="thick"/>
        </w:rPr>
        <w:t xml:space="preserve"> </w:t>
      </w:r>
      <w:r>
        <w:rPr>
          <w:rFonts w:hint="eastAsia" w:ascii="方正小标宋简体" w:hAnsi="宋体" w:eastAsia="方正小标宋简体" w:cs="方正小标宋简体"/>
          <w:sz w:val="28"/>
          <w:szCs w:val="28"/>
          <w:u w:val="thick"/>
          <w:lang w:val="en-US" w:eastAsia="zh-CN"/>
        </w:rPr>
        <w:t xml:space="preserve">            </w:t>
      </w:r>
    </w:p>
    <w:p>
      <w:pPr>
        <w:spacing w:line="600" w:lineRule="atLeast"/>
        <w:rPr>
          <w:rFonts w:hint="eastAsia" w:ascii="方正小标宋简体" w:hAnsi="宋体" w:eastAsia="方正小标宋简体" w:cs="方正小标宋简体"/>
          <w:sz w:val="28"/>
          <w:szCs w:val="28"/>
        </w:rPr>
      </w:pPr>
    </w:p>
    <w:p>
      <w:pPr>
        <w:spacing w:line="600" w:lineRule="atLeast"/>
        <w:rPr>
          <w:rFonts w:hint="eastAsia" w:ascii="方正小标宋简体" w:hAnsi="宋体" w:eastAsia="方正小标宋简体" w:cs="方正小标宋简体"/>
          <w:sz w:val="28"/>
          <w:szCs w:val="28"/>
          <w:u w:val="single"/>
        </w:rPr>
      </w:pPr>
      <w:r>
        <w:rPr>
          <w:rFonts w:hint="eastAsia" w:ascii="方正小标宋简体" w:hAnsi="宋体" w:eastAsia="方正小标宋简体" w:cs="方正小标宋简体"/>
          <w:sz w:val="28"/>
          <w:szCs w:val="28"/>
        </w:rPr>
        <w:t>项目单位：</w:t>
      </w:r>
      <w:r>
        <w:rPr>
          <w:rFonts w:hint="eastAsia" w:ascii="方正小标宋简体" w:hAnsi="宋体" w:eastAsia="方正小标宋简体" w:cs="方正小标宋简体"/>
          <w:sz w:val="28"/>
          <w:szCs w:val="28"/>
          <w:u w:val="thick"/>
        </w:rPr>
        <w:t xml:space="preserve">             </w:t>
      </w:r>
      <w:r>
        <w:rPr>
          <w:rFonts w:hint="eastAsia" w:ascii="方正小标宋简体" w:hAnsi="宋体" w:eastAsia="方正小标宋简体" w:cs="方正小标宋简体"/>
          <w:sz w:val="28"/>
          <w:szCs w:val="28"/>
          <w:u w:val="thick"/>
          <w:lang w:val="en-US" w:eastAsia="zh-CN"/>
        </w:rPr>
        <w:t xml:space="preserve">   新建区教育体育局    </w:t>
      </w:r>
      <w:r>
        <w:rPr>
          <w:rFonts w:hint="eastAsia" w:ascii="方正小标宋简体" w:hAnsi="宋体" w:eastAsia="方正小标宋简体" w:cs="方正小标宋简体"/>
          <w:sz w:val="28"/>
          <w:szCs w:val="28"/>
          <w:u w:val="thick"/>
        </w:rPr>
        <w:t xml:space="preserve">              </w:t>
      </w:r>
    </w:p>
    <w:p>
      <w:pPr>
        <w:spacing w:line="600" w:lineRule="atLeast"/>
        <w:rPr>
          <w:rFonts w:hint="eastAsia" w:ascii="方正小标宋简体" w:hAnsi="宋体" w:eastAsia="方正小标宋简体" w:cs="方正小标宋简体"/>
          <w:sz w:val="28"/>
          <w:szCs w:val="28"/>
        </w:rPr>
      </w:pPr>
    </w:p>
    <w:p>
      <w:pPr>
        <w:spacing w:line="600" w:lineRule="atLeast"/>
        <w:rPr>
          <w:rFonts w:hint="eastAsia" w:ascii="方正小标宋简体" w:hAnsi="宋体" w:eastAsia="方正小标宋简体" w:cs="方正小标宋简体"/>
          <w:sz w:val="28"/>
          <w:szCs w:val="28"/>
          <w:u w:val="thick"/>
        </w:rPr>
      </w:pPr>
      <w:r>
        <w:rPr>
          <w:rFonts w:hint="eastAsia" w:ascii="方正小标宋简体" w:hAnsi="宋体" w:eastAsia="方正小标宋简体" w:cs="方正小标宋简体"/>
          <w:sz w:val="28"/>
          <w:szCs w:val="28"/>
        </w:rPr>
        <w:t>主管部门：</w:t>
      </w:r>
      <w:r>
        <w:rPr>
          <w:rFonts w:hint="eastAsia" w:ascii="方正小标宋简体" w:hAnsi="宋体" w:eastAsia="方正小标宋简体" w:cs="方正小标宋简体"/>
          <w:sz w:val="28"/>
          <w:szCs w:val="28"/>
          <w:u w:val="thick"/>
        </w:rPr>
        <w:t xml:space="preserve">                </w:t>
      </w:r>
      <w:r>
        <w:rPr>
          <w:rFonts w:hint="eastAsia" w:ascii="方正小标宋简体" w:hAnsi="宋体" w:eastAsia="方正小标宋简体" w:cs="方正小标宋简体"/>
          <w:sz w:val="28"/>
          <w:szCs w:val="28"/>
          <w:u w:val="thick"/>
          <w:lang w:val="en-US" w:eastAsia="zh-CN"/>
        </w:rPr>
        <w:t>新建区教育体育局</w:t>
      </w:r>
      <w:r>
        <w:rPr>
          <w:rFonts w:hint="eastAsia" w:ascii="方正小标宋简体" w:hAnsi="宋体" w:eastAsia="方正小标宋简体" w:cs="方正小标宋简体"/>
          <w:sz w:val="28"/>
          <w:szCs w:val="28"/>
          <w:u w:val="thick"/>
        </w:rPr>
        <w:t xml:space="preserve">                  </w:t>
      </w:r>
    </w:p>
    <w:p>
      <w:pPr>
        <w:spacing w:line="600" w:lineRule="atLeast"/>
        <w:rPr>
          <w:rFonts w:ascii="方正小标宋简体" w:hAnsi="宋体" w:eastAsia="方正小标宋简体" w:cs="方正小标宋简体"/>
          <w:sz w:val="28"/>
          <w:szCs w:val="28"/>
        </w:rPr>
      </w:pPr>
    </w:p>
    <w:p>
      <w:pPr>
        <w:spacing w:line="600" w:lineRule="atLeast"/>
        <w:rPr>
          <w:rFonts w:hint="eastAsia" w:ascii="方正小标宋简体" w:hAnsi="宋体" w:eastAsia="方正小标宋简体" w:cs="方正小标宋简体"/>
          <w:sz w:val="28"/>
          <w:szCs w:val="28"/>
          <w:u w:val="thick"/>
        </w:rPr>
      </w:pPr>
      <w:r>
        <w:rPr>
          <w:rFonts w:hint="eastAsia" w:ascii="方正小标宋简体" w:hAnsi="宋体" w:eastAsia="方正小标宋简体" w:cs="方正小标宋简体"/>
          <w:sz w:val="28"/>
          <w:szCs w:val="28"/>
        </w:rPr>
        <w:t>评价时间：</w:t>
      </w:r>
      <w:r>
        <w:rPr>
          <w:rFonts w:hint="eastAsia" w:ascii="方正小标宋简体" w:hAnsi="宋体" w:eastAsia="方正小标宋简体" w:cs="方正小标宋简体"/>
          <w:sz w:val="28"/>
          <w:szCs w:val="28"/>
          <w:u w:val="thick"/>
        </w:rPr>
        <w:t xml:space="preserve">         2022年 1月1日至2022年 12月31日      </w:t>
      </w:r>
    </w:p>
    <w:p>
      <w:pPr>
        <w:spacing w:line="600" w:lineRule="atLeast"/>
        <w:rPr>
          <w:rFonts w:hint="eastAsia" w:ascii="方正小标宋简体" w:hAnsi="宋体" w:eastAsia="方正小标宋简体" w:cs="方正小标宋简体"/>
          <w:sz w:val="28"/>
          <w:szCs w:val="28"/>
        </w:rPr>
      </w:pPr>
    </w:p>
    <w:p>
      <w:pPr>
        <w:spacing w:line="600" w:lineRule="atLeast"/>
        <w:rPr>
          <w:rFonts w:ascii="方正小标宋简体" w:hAnsi="宋体" w:eastAsia="方正小标宋简体" w:cs="方正小标宋简体"/>
          <w:sz w:val="28"/>
          <w:szCs w:val="28"/>
          <w:u w:val="thick"/>
        </w:rPr>
      </w:pPr>
      <w:r>
        <w:rPr>
          <w:rFonts w:hint="eastAsia" w:ascii="方正小标宋简体" w:hAnsi="宋体" w:eastAsia="方正小标宋简体" w:cs="方正小标宋简体"/>
          <w:sz w:val="28"/>
          <w:szCs w:val="28"/>
        </w:rPr>
        <w:t>组织方式：</w:t>
      </w:r>
      <w:r>
        <w:rPr>
          <w:rFonts w:hint="eastAsia" w:ascii="方正小标宋简体" w:hAnsi="宋体" w:eastAsia="方正小标宋简体" w:cs="方正小标宋简体"/>
          <w:sz w:val="28"/>
          <w:szCs w:val="28"/>
          <w:u w:val="thick"/>
        </w:rPr>
        <w:t xml:space="preserve">□财政部门         ☑主管部门          ☑项目单位 </w:t>
      </w:r>
    </w:p>
    <w:p>
      <w:pPr>
        <w:spacing w:line="600" w:lineRule="atLeast"/>
        <w:rPr>
          <w:rFonts w:ascii="方正小标宋简体" w:hAnsi="宋体" w:eastAsia="方正小标宋简体" w:cs="方正小标宋简体"/>
          <w:sz w:val="28"/>
          <w:szCs w:val="28"/>
        </w:rPr>
      </w:pPr>
    </w:p>
    <w:p>
      <w:pPr>
        <w:spacing w:line="600" w:lineRule="atLeast"/>
        <w:rPr>
          <w:rFonts w:hint="eastAsia" w:ascii="黑体" w:hAnsi="黑体" w:eastAsia="黑体" w:cs="黑体"/>
          <w:sz w:val="32"/>
          <w:szCs w:val="32"/>
        </w:rPr>
      </w:pPr>
      <w:r>
        <w:rPr>
          <w:rFonts w:hint="eastAsia" w:ascii="方正小标宋简体" w:hAnsi="宋体" w:eastAsia="方正小标宋简体" w:cs="方正小标宋简体"/>
          <w:sz w:val="28"/>
          <w:szCs w:val="28"/>
        </w:rPr>
        <w:t>评价机构：</w:t>
      </w:r>
      <w:r>
        <w:rPr>
          <w:rFonts w:hint="eastAsia" w:ascii="方正小标宋简体" w:hAnsi="宋体" w:eastAsia="方正小标宋简体" w:cs="方正小标宋简体"/>
          <w:sz w:val="28"/>
          <w:szCs w:val="28"/>
          <w:u w:val="thick"/>
        </w:rPr>
        <w:t xml:space="preserve">□第三方机构       □专家组       </w:t>
      </w:r>
      <w:r>
        <w:rPr>
          <w:rFonts w:ascii="Segoe UI Symbol" w:hAnsi="Segoe UI Symbol" w:eastAsia="方正小标宋简体" w:cs="Segoe UI Symbol"/>
          <w:sz w:val="28"/>
          <w:szCs w:val="28"/>
          <w:u w:val="thick"/>
        </w:rPr>
        <w:t>☑</w:t>
      </w:r>
      <w:r>
        <w:rPr>
          <w:rFonts w:hint="eastAsia" w:ascii="方正小标宋简体" w:hAnsi="宋体" w:eastAsia="方正小标宋简体" w:cs="方正小标宋简体"/>
          <w:sz w:val="28"/>
          <w:szCs w:val="28"/>
          <w:u w:val="thick"/>
        </w:rPr>
        <w:t xml:space="preserve">项目单位评价组 </w:t>
      </w:r>
    </w:p>
    <w:p>
      <w:pPr>
        <w:spacing w:line="578" w:lineRule="exact"/>
        <w:ind w:right="140"/>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right="0" w:firstLine="280" w:firstLineChars="100"/>
        <w:jc w:val="center"/>
        <w:textAlignment w:val="auto"/>
        <w:rPr>
          <w:rFonts w:hint="eastAsia" w:ascii="方正小标宋简体" w:hAnsi="宋体" w:eastAsia="方正小标宋简体" w:cs="方正小标宋简体"/>
          <w:sz w:val="28"/>
          <w:szCs w:val="28"/>
        </w:rPr>
      </w:pPr>
      <w:r>
        <w:rPr>
          <w:rFonts w:hint="eastAsia" w:ascii="方正小标宋简体" w:hAnsi="宋体" w:eastAsia="方正小标宋简体" w:cs="方正小标宋简体"/>
          <w:sz w:val="28"/>
          <w:szCs w:val="28"/>
        </w:rPr>
        <w:t xml:space="preserve">上报时间：2023 年 </w:t>
      </w:r>
      <w:r>
        <w:rPr>
          <w:rFonts w:hint="eastAsia" w:ascii="方正小标宋简体" w:hAnsi="宋体" w:eastAsia="方正小标宋简体" w:cs="方正小标宋简体"/>
          <w:sz w:val="28"/>
          <w:szCs w:val="28"/>
          <w:lang w:val="en-US" w:eastAsia="zh-CN"/>
        </w:rPr>
        <w:t>4</w:t>
      </w:r>
      <w:r>
        <w:rPr>
          <w:rFonts w:hint="eastAsia" w:ascii="方正小标宋简体" w:hAnsi="宋体" w:eastAsia="方正小标宋简体" w:cs="方正小标宋简体"/>
          <w:sz w:val="28"/>
          <w:szCs w:val="28"/>
        </w:rPr>
        <w:t xml:space="preserve"> 月 </w:t>
      </w:r>
      <w:r>
        <w:rPr>
          <w:rFonts w:hint="eastAsia" w:ascii="方正小标宋简体" w:hAnsi="宋体" w:eastAsia="方正小标宋简体" w:cs="方正小标宋简体"/>
          <w:sz w:val="28"/>
          <w:szCs w:val="28"/>
          <w:lang w:val="en-US" w:eastAsia="zh-CN"/>
        </w:rPr>
        <w:t>25</w:t>
      </w:r>
      <w:r>
        <w:rPr>
          <w:rFonts w:hint="eastAsia" w:ascii="方正小标宋简体" w:hAnsi="宋体" w:eastAsia="方正小标宋简体" w:cs="方正小标宋简体"/>
          <w:sz w:val="28"/>
          <w:szCs w:val="28"/>
        </w:rPr>
        <w:t>日</w:t>
      </w:r>
    </w:p>
    <w:p>
      <w:pPr>
        <w:pStyle w:val="2"/>
        <w:rPr>
          <w:rFonts w:hint="eastAsia"/>
          <w:lang w:val="en-US" w:eastAsia="zh-CN"/>
        </w:rPr>
      </w:pPr>
    </w:p>
    <w:p>
      <w:pPr>
        <w:jc w:val="center"/>
        <w:rPr>
          <w:rFonts w:hint="eastAsia" w:ascii="黑体" w:hAnsi="黑体" w:eastAsia="黑体" w:cs="黑体"/>
          <w:color w:val="auto"/>
          <w:sz w:val="32"/>
          <w:szCs w:val="32"/>
        </w:rPr>
        <w:sectPr>
          <w:headerReference r:id="rId4" w:type="first"/>
          <w:headerReference r:id="rId3" w:type="default"/>
          <w:pgSz w:w="11906" w:h="16838"/>
          <w:pgMar w:top="1440" w:right="1800" w:bottom="1440" w:left="1800" w:header="851" w:footer="992" w:gutter="0"/>
          <w:cols w:space="720" w:num="1"/>
          <w:docGrid w:type="lines" w:linePitch="312" w:charSpace="0"/>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2"/>
        <w:rPr>
          <w:rFonts w:ascii="黑体" w:hAnsi="黑体" w:eastAsia="黑体"/>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auto"/>
          <w:kern w:val="2"/>
          <w:sz w:val="28"/>
          <w:szCs w:val="28"/>
          <w:lang w:val="en-US" w:eastAsia="zh-CN" w:bidi="ar-SA"/>
        </w:rPr>
      </w:pPr>
      <w:bookmarkStart w:id="18" w:name="_Toc512441856"/>
      <w:bookmarkStart w:id="19" w:name="_Toc30856"/>
      <w:r>
        <w:rPr>
          <w:rFonts w:hint="eastAsia" w:ascii="黑体" w:hAnsi="黑体" w:eastAsia="黑体" w:cs="黑体"/>
          <w:b w:val="0"/>
          <w:bCs w:val="0"/>
          <w:color w:val="auto"/>
          <w:sz w:val="32"/>
          <w:szCs w:val="32"/>
          <w:shd w:val="clear" w:color="auto" w:fill="auto"/>
        </w:rPr>
        <w:t>目</w:t>
      </w:r>
      <w:r>
        <w:rPr>
          <w:rFonts w:hint="eastAsia" w:ascii="黑体" w:hAnsi="黑体" w:eastAsia="黑体" w:cs="黑体"/>
          <w:b w:val="0"/>
          <w:bCs w:val="0"/>
          <w:color w:val="auto"/>
          <w:sz w:val="32"/>
          <w:szCs w:val="32"/>
          <w:shd w:val="clear" w:color="auto" w:fill="auto"/>
          <w:lang w:val="en-US" w:eastAsia="zh-CN"/>
        </w:rPr>
        <w:t xml:space="preserve"> </w:t>
      </w:r>
      <w:r>
        <w:rPr>
          <w:rFonts w:hint="eastAsia" w:ascii="黑体" w:hAnsi="黑体" w:eastAsia="黑体" w:cs="黑体"/>
          <w:b w:val="0"/>
          <w:bCs w:val="0"/>
          <w:color w:val="auto"/>
          <w:sz w:val="32"/>
          <w:szCs w:val="32"/>
          <w:shd w:val="clear" w:color="auto" w:fill="auto"/>
        </w:rPr>
        <w:t>录</w:t>
      </w:r>
      <w:r>
        <w:rPr>
          <w:rFonts w:ascii="Times New Roman" w:hAnsi="Times New Roman" w:eastAsia="仿宋_GB2312" w:cs="Times New Roman"/>
          <w:color w:val="auto"/>
          <w:sz w:val="28"/>
          <w:szCs w:val="28"/>
        </w:rPr>
        <w:fldChar w:fldCharType="begin"/>
      </w:r>
      <w:r>
        <w:rPr>
          <w:rFonts w:ascii="Times New Roman" w:hAnsi="Times New Roman" w:eastAsia="仿宋_GB2312" w:cs="Times New Roman"/>
          <w:color w:val="auto"/>
          <w:sz w:val="28"/>
          <w:szCs w:val="28"/>
        </w:rPr>
        <w:instrText xml:space="preserve">TOC \o "1-3" \h \u </w:instrText>
      </w:r>
      <w:r>
        <w:rPr>
          <w:rFonts w:ascii="Times New Roman" w:hAnsi="Times New Roman" w:eastAsia="仿宋_GB2312" w:cs="Times New Roman"/>
          <w:color w:val="auto"/>
          <w:sz w:val="28"/>
          <w:szCs w:val="28"/>
        </w:rPr>
        <w:fldChar w:fldCharType="separate"/>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_Toc26538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前 言</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_Toc26538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3</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_Toc16638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一、基本情况</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_Toc16638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4</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_Toc106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（一）项目概况</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_Toc106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4</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_Toc19473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（二）项目绩效目标</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_Toc19473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5</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_Toc9601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二、绩效评价工作情况</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_Toc9601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6</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_Toc30698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（一）绩效评价目的、对象和范围</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_Toc30698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6</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_Toc14749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（二）绩效评价原则、评价指标体系、评价方法、评价标准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_Toc14749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7</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_Toc23180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（三）绩效评价工作过程</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_Toc23180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10</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_Toc14646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三、综合评价情况及评价结论</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_Toc14646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13</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_Toc6505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四、绩效评价指标分析</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_Toc6505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14</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_Toc23132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（一）项目决策情况（20分）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_Toc23132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14</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_Toc8575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（二）项目过程情况（20分）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_Toc8575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16</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_Toc26039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（三）项目产出情况（34分）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_Toc26039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18</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_Toc19772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（四）项目效益情况（26分）</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_Toc19772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20</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_Toc27010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五、主要经验及做法、存在的问题及原因分析</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_Toc27010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21</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_Toc26195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（一）项目实施经验及做法</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_Toc26195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21</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HYPERLINK \l _Toc26712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（二）存在的问题及原因分析</w:t>
      </w:r>
      <w:r>
        <w:rPr>
          <w:rFonts w:hint="eastAsia" w:ascii="Times New Roman" w:hAnsi="Times New Roman" w:eastAsia="仿宋_GB2312" w:cs="仿宋_GB2312"/>
          <w:color w:val="auto"/>
          <w:kern w:val="2"/>
          <w:sz w:val="28"/>
          <w:szCs w:val="28"/>
          <w:lang w:val="en-US" w:eastAsia="zh-CN" w:bidi="ar-SA"/>
        </w:rPr>
        <w:tab/>
      </w:r>
      <w:r>
        <w:rPr>
          <w:rFonts w:hint="eastAsia" w:ascii="Times New Roman" w:hAnsi="Times New Roman" w:eastAsia="仿宋_GB2312" w:cs="仿宋_GB2312"/>
          <w:color w:val="auto"/>
          <w:kern w:val="2"/>
          <w:sz w:val="28"/>
          <w:szCs w:val="28"/>
          <w:lang w:val="en-US" w:eastAsia="zh-CN" w:bidi="ar-SA"/>
        </w:rPr>
        <w:fldChar w:fldCharType="begin"/>
      </w:r>
      <w:r>
        <w:rPr>
          <w:rFonts w:hint="eastAsia" w:ascii="Times New Roman" w:hAnsi="Times New Roman" w:eastAsia="仿宋_GB2312" w:cs="仿宋_GB2312"/>
          <w:color w:val="auto"/>
          <w:kern w:val="2"/>
          <w:sz w:val="28"/>
          <w:szCs w:val="28"/>
          <w:lang w:val="en-US" w:eastAsia="zh-CN" w:bidi="ar-SA"/>
        </w:rPr>
        <w:instrText xml:space="preserve"> PAGEREF _Toc26712 \h </w:instrText>
      </w:r>
      <w:r>
        <w:rPr>
          <w:rFonts w:hint="eastAsia" w:ascii="Times New Roman" w:hAnsi="Times New Roman" w:eastAsia="仿宋_GB2312" w:cs="仿宋_GB2312"/>
          <w:color w:val="auto"/>
          <w:kern w:val="2"/>
          <w:sz w:val="28"/>
          <w:szCs w:val="28"/>
          <w:lang w:val="en-US" w:eastAsia="zh-CN" w:bidi="ar-SA"/>
        </w:rPr>
        <w:fldChar w:fldCharType="separate"/>
      </w:r>
      <w:r>
        <w:rPr>
          <w:rFonts w:hint="eastAsia" w:ascii="Times New Roman" w:hAnsi="Times New Roman" w:eastAsia="仿宋_GB2312" w:cs="仿宋_GB2312"/>
          <w:color w:val="auto"/>
          <w:kern w:val="2"/>
          <w:sz w:val="28"/>
          <w:szCs w:val="28"/>
          <w:lang w:val="en-US" w:eastAsia="zh-CN" w:bidi="ar-SA"/>
        </w:rPr>
        <w:t>21</w:t>
      </w:r>
      <w:r>
        <w:rPr>
          <w:rFonts w:hint="eastAsia" w:ascii="Times New Roman" w:hAnsi="Times New Roman" w:eastAsia="仿宋_GB2312" w:cs="仿宋_GB2312"/>
          <w:color w:val="auto"/>
          <w:kern w:val="2"/>
          <w:sz w:val="28"/>
          <w:szCs w:val="28"/>
          <w:lang w:val="en-US" w:eastAsia="zh-CN" w:bidi="ar-SA"/>
        </w:rPr>
        <w:fldChar w:fldCharType="end"/>
      </w:r>
      <w:r>
        <w:rPr>
          <w:rFonts w:hint="eastAsia" w:ascii="Times New Roman" w:hAnsi="Times New Roman" w:eastAsia="仿宋_GB2312" w:cs="仿宋_GB2312"/>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_Toc3557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六、有关建议</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_Toc3557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22</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_Toc19997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七、其他需要说明的问题</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_Toc19997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22</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3"/>
        <w:keepNext w:val="0"/>
        <w:keepLines w:val="0"/>
        <w:pageBreakBefore w:val="0"/>
        <w:widowControl w:val="0"/>
        <w:tabs>
          <w:tab w:val="right" w:leader="dot" w:pos="9026"/>
          <w:tab w:val="clear" w:pos="901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HYPERLINK \l _Toc7602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附件1：项目支出绩效评分表</w:t>
      </w:r>
      <w:r>
        <w:rPr>
          <w:rFonts w:hint="eastAsia" w:ascii="Times New Roman" w:hAnsi="Times New Roman" w:eastAsia="仿宋_GB2312" w:cs="仿宋_GB2312"/>
          <w:b/>
          <w:bCs/>
          <w:color w:val="auto"/>
          <w:kern w:val="2"/>
          <w:sz w:val="28"/>
          <w:szCs w:val="28"/>
          <w:lang w:val="en-US" w:eastAsia="zh-CN" w:bidi="ar-SA"/>
        </w:rPr>
        <w:tab/>
      </w:r>
      <w:r>
        <w:rPr>
          <w:rFonts w:hint="eastAsia" w:ascii="Times New Roman" w:hAnsi="Times New Roman" w:eastAsia="仿宋_GB2312" w:cs="仿宋_GB2312"/>
          <w:b/>
          <w:bCs/>
          <w:color w:val="auto"/>
          <w:kern w:val="2"/>
          <w:sz w:val="28"/>
          <w:szCs w:val="28"/>
          <w:lang w:val="en-US" w:eastAsia="zh-CN" w:bidi="ar-SA"/>
        </w:rPr>
        <w:fldChar w:fldCharType="begin"/>
      </w:r>
      <w:r>
        <w:rPr>
          <w:rFonts w:hint="eastAsia" w:ascii="Times New Roman" w:hAnsi="Times New Roman" w:eastAsia="仿宋_GB2312" w:cs="仿宋_GB2312"/>
          <w:b/>
          <w:bCs/>
          <w:color w:val="auto"/>
          <w:kern w:val="2"/>
          <w:sz w:val="28"/>
          <w:szCs w:val="28"/>
          <w:lang w:val="en-US" w:eastAsia="zh-CN" w:bidi="ar-SA"/>
        </w:rPr>
        <w:instrText xml:space="preserve"> PAGEREF _Toc7602 \h </w:instrText>
      </w:r>
      <w:r>
        <w:rPr>
          <w:rFonts w:hint="eastAsia" w:ascii="Times New Roman" w:hAnsi="Times New Roman" w:eastAsia="仿宋_GB2312" w:cs="仿宋_GB2312"/>
          <w:b/>
          <w:bCs/>
          <w:color w:val="auto"/>
          <w:kern w:val="2"/>
          <w:sz w:val="28"/>
          <w:szCs w:val="28"/>
          <w:lang w:val="en-US" w:eastAsia="zh-CN" w:bidi="ar-SA"/>
        </w:rPr>
        <w:fldChar w:fldCharType="separate"/>
      </w:r>
      <w:r>
        <w:rPr>
          <w:rFonts w:hint="eastAsia" w:ascii="Times New Roman" w:hAnsi="Times New Roman" w:eastAsia="仿宋_GB2312" w:cs="仿宋_GB2312"/>
          <w:b/>
          <w:bCs/>
          <w:color w:val="auto"/>
          <w:kern w:val="2"/>
          <w:sz w:val="28"/>
          <w:szCs w:val="28"/>
          <w:lang w:val="en-US" w:eastAsia="zh-CN" w:bidi="ar-SA"/>
        </w:rPr>
        <w:t>23</w:t>
      </w:r>
      <w:r>
        <w:rPr>
          <w:rFonts w:hint="eastAsia" w:ascii="Times New Roman" w:hAnsi="Times New Roman" w:eastAsia="仿宋_GB2312" w:cs="仿宋_GB2312"/>
          <w:b/>
          <w:bCs/>
          <w:color w:val="auto"/>
          <w:kern w:val="2"/>
          <w:sz w:val="28"/>
          <w:szCs w:val="28"/>
          <w:lang w:val="en-US" w:eastAsia="zh-CN" w:bidi="ar-SA"/>
        </w:rPr>
        <w:fldChar w:fldCharType="end"/>
      </w:r>
      <w:r>
        <w:rPr>
          <w:rFonts w:hint="eastAsia" w:ascii="Times New Roman" w:hAnsi="Times New Roman" w:eastAsia="仿宋_GB2312" w:cs="仿宋_GB2312"/>
          <w:b/>
          <w:bCs/>
          <w:color w:val="auto"/>
          <w:kern w:val="2"/>
          <w:sz w:val="28"/>
          <w:szCs w:val="28"/>
          <w:lang w:val="en-US" w:eastAsia="zh-CN" w:bidi="ar-SA"/>
        </w:rPr>
        <w:fldChar w:fldCharType="end"/>
      </w:r>
    </w:p>
    <w:p>
      <w:pPr>
        <w:pStyle w:val="14"/>
        <w:keepNext w:val="0"/>
        <w:keepLines w:val="0"/>
        <w:pageBreakBefore w:val="0"/>
        <w:widowControl w:val="0"/>
        <w:tabs>
          <w:tab w:val="right" w:leader="dot" w:pos="9026"/>
        </w:tabs>
        <w:kinsoku/>
        <w:wordWrap/>
        <w:overflowPunct/>
        <w:topLinePunct w:val="0"/>
        <w:autoSpaceDE/>
        <w:autoSpaceDN/>
        <w:bidi w:val="0"/>
        <w:adjustRightInd/>
        <w:snapToGrid/>
        <w:spacing w:line="560" w:lineRule="exact"/>
        <w:textAlignment w:val="auto"/>
        <w:rPr>
          <w:rFonts w:hint="eastAsia" w:ascii="Times New Roman" w:hAnsi="Times New Roman" w:eastAsia="仿宋_GB2312" w:cs="仿宋_GB2312"/>
          <w:color w:val="auto"/>
          <w:kern w:val="2"/>
          <w:sz w:val="28"/>
          <w:szCs w:val="28"/>
          <w:lang w:val="en-US" w:eastAsia="zh-CN" w:bidi="ar-SA"/>
        </w:rPr>
        <w:sectPr>
          <w:headerReference r:id="rId6" w:type="first"/>
          <w:footerReference r:id="rId8" w:type="first"/>
          <w:headerReference r:id="rId5" w:type="default"/>
          <w:footerReference r:id="rId7" w:type="default"/>
          <w:pgSz w:w="11906" w:h="16838"/>
          <w:pgMar w:top="1797" w:right="1440" w:bottom="1797" w:left="1440" w:header="1191" w:footer="992" w:gutter="0"/>
          <w:pgBorders>
            <w:top w:val="none" w:sz="0" w:space="0"/>
            <w:left w:val="none" w:sz="0" w:space="0"/>
            <w:bottom w:val="none" w:sz="0" w:space="0"/>
            <w:right w:val="none" w:sz="0" w:space="0"/>
          </w:pgBorders>
          <w:pgNumType w:fmt="upperRoman" w:start="1"/>
          <w:cols w:space="720" w:num="1"/>
          <w:titlePg/>
          <w:docGrid w:type="lines" w:linePitch="312" w:charSpace="0"/>
        </w:sectPr>
      </w:pPr>
      <w:r>
        <w:rPr>
          <w:rFonts w:ascii="Times New Roman" w:hAnsi="Times New Roman" w:eastAsia="仿宋_GB2312" w:cs="Times New Roman"/>
          <w:color w:val="auto"/>
          <w:sz w:val="28"/>
          <w:szCs w:val="28"/>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eastAsia="zh-CN"/>
        </w:rPr>
        <w:t>新建区教育体育局</w:t>
      </w:r>
      <w:r>
        <w:rPr>
          <w:rFonts w:hint="eastAsia" w:ascii="方正小标宋简体" w:hAnsi="方正小标宋简体" w:eastAsia="方正小标宋简体" w:cs="方正小标宋简体"/>
          <w:color w:val="auto"/>
          <w:sz w:val="36"/>
          <w:szCs w:val="36"/>
          <w:lang w:val="en-US" w:eastAsia="zh-CN"/>
        </w:rPr>
        <w:t>2022年度</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方正小标宋简体" w:hAnsi="方正小标宋简体" w:eastAsia="方正小标宋简体" w:cs="Times New Roman"/>
          <w:color w:val="auto"/>
          <w:sz w:val="36"/>
          <w:szCs w:val="36"/>
        </w:rPr>
      </w:pPr>
      <w:r>
        <w:rPr>
          <w:rFonts w:hint="eastAsia" w:ascii="方正小标宋简体" w:hAnsi="方正小标宋简体" w:eastAsia="方正小标宋简体" w:cs="方正小标宋简体"/>
          <w:color w:val="auto"/>
          <w:sz w:val="36"/>
          <w:szCs w:val="36"/>
          <w:lang w:eastAsia="zh-CN"/>
        </w:rPr>
        <w:t>教育系统师资培训费项目</w:t>
      </w:r>
      <w:r>
        <w:rPr>
          <w:rFonts w:hint="eastAsia" w:ascii="方正小标宋简体" w:hAnsi="方正小标宋简体" w:eastAsia="方正小标宋简体" w:cs="方正小标宋简体"/>
          <w:color w:val="auto"/>
          <w:sz w:val="36"/>
          <w:szCs w:val="36"/>
        </w:rPr>
        <w:t>绩效评价报告</w:t>
      </w:r>
    </w:p>
    <w:p>
      <w:pPr>
        <w:pStyle w:val="4"/>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黑体" w:cs="Times New Roman"/>
          <w:b w:val="0"/>
          <w:bCs w:val="0"/>
          <w:color w:val="auto"/>
        </w:rPr>
      </w:pPr>
      <w:bookmarkStart w:id="20" w:name="_Toc26538"/>
      <w:r>
        <w:rPr>
          <w:rFonts w:hint="eastAsia" w:ascii="黑体" w:hAnsi="黑体" w:cs="黑体"/>
          <w:b w:val="0"/>
          <w:bCs w:val="0"/>
          <w:color w:val="auto"/>
        </w:rPr>
        <w:t>前</w:t>
      </w:r>
      <w:r>
        <w:rPr>
          <w:rFonts w:hint="eastAsia" w:ascii="黑体" w:hAnsi="黑体" w:cs="黑体"/>
          <w:b w:val="0"/>
          <w:bCs w:val="0"/>
          <w:color w:val="auto"/>
          <w:lang w:val="en-US" w:eastAsia="zh-CN"/>
        </w:rPr>
        <w:t xml:space="preserve"> </w:t>
      </w:r>
      <w:r>
        <w:rPr>
          <w:rFonts w:hint="eastAsia" w:ascii="黑体" w:hAnsi="黑体" w:cs="黑体"/>
          <w:b w:val="0"/>
          <w:bCs w:val="0"/>
          <w:color w:val="auto"/>
        </w:rPr>
        <w:t>言</w:t>
      </w:r>
      <w:bookmarkEnd w:id="18"/>
      <w:bookmarkEnd w:id="19"/>
      <w:bookmarkEnd w:id="2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color w:val="auto"/>
          <w:sz w:val="28"/>
          <w:szCs w:val="28"/>
        </w:rPr>
        <w:t>为</w:t>
      </w:r>
      <w:r>
        <w:rPr>
          <w:rFonts w:hint="eastAsia" w:ascii="Times New Roman" w:hAnsi="Times New Roman" w:eastAsia="仿宋_GB2312" w:cs="仿宋_GB2312"/>
          <w:color w:val="auto"/>
          <w:sz w:val="28"/>
          <w:szCs w:val="28"/>
          <w:lang w:eastAsia="zh-CN"/>
        </w:rPr>
        <w:t>深入贯彻落实财政部《项目支出绩效评价管理办法》（财预〔2020〕10号）</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《中共江西省委、江西省人民政府关于全面实施预算绩效管理的意见》（赣发〔2019〕8号）</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val="en-US" w:eastAsia="zh-CN"/>
        </w:rPr>
        <w:t>《南昌市新建区财政局关于开展2022年度单位自评及部门评价工作的通知》（新财字〔2023〕11号）</w:t>
      </w:r>
      <w:r>
        <w:rPr>
          <w:rFonts w:hint="eastAsia" w:ascii="Times New Roman" w:hAnsi="Times New Roman" w:eastAsia="仿宋_GB2312" w:cs="仿宋_GB2312"/>
          <w:color w:val="auto"/>
          <w:sz w:val="28"/>
          <w:szCs w:val="28"/>
          <w:lang w:eastAsia="zh-CN"/>
        </w:rPr>
        <w:t>等文件精神</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为强化预算支出主体责任，提高财政资源配置和使用效率。根据绩效评价有关文件及相关规定，按照绩效评价工作的一般准则，</w:t>
      </w:r>
      <w:r>
        <w:rPr>
          <w:rFonts w:hint="eastAsia" w:ascii="Times New Roman" w:hAnsi="Times New Roman" w:eastAsia="仿宋_GB2312" w:cs="仿宋_GB2312"/>
          <w:color w:val="auto"/>
          <w:sz w:val="28"/>
          <w:szCs w:val="28"/>
          <w:lang w:val="en-US" w:eastAsia="zh-CN"/>
        </w:rPr>
        <w:t>新建区教育体育局</w:t>
      </w:r>
      <w:r>
        <w:rPr>
          <w:rFonts w:hint="eastAsia" w:ascii="Times New Roman" w:hAnsi="Times New Roman" w:eastAsia="仿宋_GB2312" w:cs="仿宋_GB2312"/>
          <w:color w:val="auto"/>
          <w:sz w:val="28"/>
          <w:szCs w:val="28"/>
          <w:lang w:eastAsia="zh-CN"/>
        </w:rPr>
        <w:t>组织成立了部门绩效评价组对“</w:t>
      </w:r>
      <w:r>
        <w:rPr>
          <w:rFonts w:hint="eastAsia" w:ascii="Times New Roman" w:hAnsi="Times New Roman" w:eastAsia="仿宋_GB2312" w:cs="仿宋_GB2312"/>
          <w:color w:val="auto"/>
          <w:sz w:val="28"/>
          <w:szCs w:val="28"/>
          <w:lang w:val="en-US" w:eastAsia="zh-CN"/>
        </w:rPr>
        <w:t>教育系统师资培训费</w:t>
      </w:r>
      <w:r>
        <w:rPr>
          <w:rFonts w:hint="eastAsia" w:ascii="Times New Roman" w:hAnsi="Times New Roman" w:eastAsia="仿宋_GB2312" w:cs="仿宋_GB2312"/>
          <w:color w:val="auto"/>
          <w:sz w:val="28"/>
          <w:szCs w:val="28"/>
          <w:lang w:eastAsia="zh-CN"/>
        </w:rPr>
        <w:t>”支出绩效实施开展了部门评价工作，现将评价情况报告如下：</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cs="Times New Roman"/>
          <w:color w:val="auto"/>
        </w:rPr>
      </w:pPr>
      <w:bookmarkStart w:id="21" w:name="_Toc11027"/>
      <w:bookmarkStart w:id="22" w:name="_Toc512441857"/>
      <w:r>
        <w:rPr>
          <w:rFonts w:hint="eastAsia" w:cs="黑体"/>
          <w:color w:val="auto"/>
        </w:rPr>
        <w:br w:type="page"/>
      </w:r>
      <w:bookmarkStart w:id="23" w:name="_Toc16638"/>
      <w:r>
        <w:rPr>
          <w:rFonts w:hint="eastAsia" w:cs="黑体"/>
          <w:color w:val="auto"/>
        </w:rPr>
        <w:t>一、基本情况</w:t>
      </w:r>
      <w:bookmarkEnd w:id="21"/>
      <w:bookmarkEnd w:id="22"/>
      <w:bookmarkEnd w:id="23"/>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24" w:name="_Toc15980"/>
      <w:bookmarkStart w:id="25" w:name="_Toc106"/>
      <w:bookmarkStart w:id="26" w:name="_Toc512441858"/>
      <w:r>
        <w:rPr>
          <w:rFonts w:hint="eastAsia" w:ascii="Times New Roman" w:hAnsi="Times New Roman" w:eastAsia="楷体_GB2312" w:cs="楷体_GB2312"/>
          <w:color w:val="auto"/>
        </w:rPr>
        <w:t>（一）项目概况</w:t>
      </w:r>
      <w:bookmarkEnd w:id="24"/>
      <w:bookmarkEnd w:id="25"/>
      <w:bookmarkEnd w:id="26"/>
    </w:p>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27" w:name="_Toc22746"/>
      <w:bookmarkStart w:id="28" w:name="_Toc26138"/>
      <w:bookmarkStart w:id="29" w:name="_Toc29115"/>
      <w:bookmarkStart w:id="30" w:name="_Toc29479"/>
      <w:r>
        <w:rPr>
          <w:rFonts w:ascii="Times New Roman" w:hAnsi="Times New Roman" w:eastAsia="仿宋_GB2312" w:cs="Times New Roman"/>
          <w:color w:val="auto"/>
        </w:rPr>
        <w:t>1.</w:t>
      </w:r>
      <w:r>
        <w:rPr>
          <w:rFonts w:hint="eastAsia" w:ascii="Times New Roman" w:hAnsi="Times New Roman" w:eastAsia="仿宋_GB2312" w:cs="仿宋_GB2312"/>
          <w:color w:val="auto"/>
        </w:rPr>
        <w:t>项目背景</w:t>
      </w:r>
      <w:bookmarkEnd w:id="27"/>
      <w:bookmarkEnd w:id="28"/>
      <w:bookmarkEnd w:id="29"/>
      <w:bookmarkEnd w:id="30"/>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val="en-US" w:eastAsia="zh-CN"/>
        </w:rPr>
      </w:pPr>
      <w:bookmarkStart w:id="31" w:name="_Toc512441860"/>
      <w:bookmarkStart w:id="32" w:name="_Toc26037"/>
      <w:r>
        <w:rPr>
          <w:rFonts w:hint="eastAsia" w:ascii="Times New Roman" w:hAnsi="Times New Roman" w:eastAsia="仿宋_GB2312" w:cs="仿宋_GB2312"/>
          <w:color w:val="auto"/>
          <w:sz w:val="28"/>
          <w:szCs w:val="28"/>
          <w:lang w:val="en-US" w:eastAsia="zh-CN"/>
        </w:rPr>
        <w:t>高素质的师资队伍是学校宝贵资源，是学校全面发展和可持续发展的源动力，教师培训是加强教师队伍建设的重要环节，是推进素质教育，促进教育公平，提高教育质量的重要保证；同时，进一步构筑新建区教育人才高地，打造高素质的中小学教育管理干部队伍和教师队伍，实现新建教育跨越发展，切实发挥师训工作为教育科学服务，推进素质教育和提高教育质量服务，为教师专业成长服务的作用，提升师训工作在新建区教育和社会事业发展中的应有地位。</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color w:val="auto"/>
          <w:sz w:val="28"/>
          <w:szCs w:val="28"/>
          <w:lang w:val="en-US" w:eastAsia="zh-CN"/>
        </w:rPr>
        <w:t>为贯彻落实中共中央国务院《关于全面深化新时代教师队伍建设改革的意见》（中发</w:t>
      </w:r>
      <w:r>
        <w:rPr>
          <w:rFonts w:hint="eastAsia" w:ascii="Times New Roman" w:hAnsi="Times New Roman" w:eastAsia="仿宋_GB2312" w:cs="仿宋_GB2312"/>
          <w:color w:val="auto"/>
          <w:sz w:val="28"/>
          <w:szCs w:val="28"/>
        </w:rPr>
        <w:t>〔20</w:t>
      </w:r>
      <w:r>
        <w:rPr>
          <w:rFonts w:hint="eastAsia" w:ascii="Times New Roman" w:hAnsi="Times New Roman" w:eastAsia="仿宋_GB2312" w:cs="仿宋_GB2312"/>
          <w:color w:val="auto"/>
          <w:sz w:val="28"/>
          <w:szCs w:val="28"/>
          <w:lang w:val="en-US" w:eastAsia="zh-CN"/>
        </w:rPr>
        <w:t>18</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val="en-US" w:eastAsia="zh-CN"/>
        </w:rPr>
        <w:t>4号）精神，进一步提高新建区中小学教育管理干部队伍和教师队伍的整体素质，新建区教育体育局开展教育系统师资培训费项目，以适应基础教育改革和发展的需要，促进新建区中小学教育教学质量的全面提升，促使学校管理干部和教师持续提升学校管理、课程教学的理念与水平，全面提升教育人才队伍的整体素质和专业水平。</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33" w:name="_Toc24737"/>
      <w:bookmarkStart w:id="34" w:name="_Toc6945"/>
      <w:bookmarkStart w:id="35" w:name="_Toc16178"/>
      <w:r>
        <w:rPr>
          <w:rFonts w:ascii="Times New Roman" w:hAnsi="Times New Roman" w:eastAsia="仿宋_GB2312" w:cs="Times New Roman"/>
          <w:color w:val="auto"/>
        </w:rPr>
        <w:t>2.</w:t>
      </w:r>
      <w:r>
        <w:rPr>
          <w:rFonts w:hint="eastAsia" w:ascii="Times New Roman" w:hAnsi="Times New Roman" w:eastAsia="仿宋_GB2312" w:cs="仿宋_GB2312"/>
          <w:color w:val="auto"/>
        </w:rPr>
        <w:t>项目主要内容</w:t>
      </w:r>
      <w:bookmarkEnd w:id="31"/>
      <w:r>
        <w:rPr>
          <w:rFonts w:hint="eastAsia" w:ascii="Times New Roman" w:hAnsi="Times New Roman" w:eastAsia="仿宋_GB2312" w:cs="仿宋_GB2312"/>
          <w:color w:val="auto"/>
        </w:rPr>
        <w:t>及实施情况</w:t>
      </w:r>
      <w:bookmarkEnd w:id="33"/>
      <w:bookmarkEnd w:id="34"/>
      <w:bookmarkEnd w:id="35"/>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b/>
          <w:bCs/>
          <w:color w:val="auto"/>
          <w:sz w:val="28"/>
          <w:szCs w:val="28"/>
        </w:rPr>
      </w:pPr>
      <w:bookmarkStart w:id="36" w:name="_Hlk39134430"/>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）项目主要内容</w:t>
      </w:r>
      <w:bookmarkEnd w:id="36"/>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val="en-US" w:eastAsia="zh-CN"/>
        </w:rPr>
      </w:pPr>
      <w:r>
        <w:rPr>
          <w:rFonts w:hint="eastAsia" w:ascii="Times New Roman" w:hAnsi="Times New Roman" w:eastAsia="仿宋_GB2312" w:cs="仿宋_GB2312"/>
          <w:color w:val="auto"/>
          <w:sz w:val="28"/>
          <w:szCs w:val="28"/>
          <w:lang w:eastAsia="zh-CN"/>
        </w:rPr>
        <w:t>依</w:t>
      </w:r>
      <w:r>
        <w:rPr>
          <w:rFonts w:hint="eastAsia" w:ascii="Times New Roman" w:hAnsi="Times New Roman" w:eastAsia="仿宋_GB2312" w:cs="仿宋_GB2312"/>
          <w:color w:val="auto"/>
          <w:sz w:val="28"/>
          <w:szCs w:val="28"/>
          <w:lang w:val="en-US" w:eastAsia="zh-CN"/>
        </w:rPr>
        <w:t>据《关于印发《2022年对设区市人民政府履行教育职责督导评价工作实施方案》的通知》（赣教督委字〔2022〕6号）《</w:t>
      </w:r>
      <w:r>
        <w:rPr>
          <w:rFonts w:hint="eastAsia" w:ascii="Times New Roman" w:hAnsi="Times New Roman" w:eastAsia="仿宋_GB2312" w:cs="仿宋_GB2312"/>
          <w:color w:val="auto"/>
          <w:sz w:val="28"/>
          <w:szCs w:val="28"/>
          <w:lang w:eastAsia="zh-CN"/>
        </w:rPr>
        <w:t>关于印发《新建区202</w:t>
      </w:r>
      <w:r>
        <w:rPr>
          <w:rFonts w:hint="eastAsia" w:ascii="Times New Roman" w:hAnsi="Times New Roman" w:eastAsia="仿宋_GB2312" w:cs="仿宋_GB2312"/>
          <w:color w:val="auto"/>
          <w:sz w:val="28"/>
          <w:szCs w:val="28"/>
          <w:lang w:val="en-US" w:eastAsia="zh-CN"/>
        </w:rPr>
        <w:t>2</w:t>
      </w:r>
      <w:r>
        <w:rPr>
          <w:rFonts w:hint="eastAsia" w:ascii="Times New Roman" w:hAnsi="Times New Roman" w:eastAsia="仿宋_GB2312" w:cs="仿宋_GB2312"/>
          <w:color w:val="auto"/>
          <w:sz w:val="28"/>
          <w:szCs w:val="28"/>
          <w:lang w:eastAsia="zh-CN"/>
        </w:rPr>
        <w:t>年中小学（幼儿园）管理干部、教师培训工作计划》的通知</w:t>
      </w:r>
      <w:r>
        <w:rPr>
          <w:rFonts w:hint="eastAsia" w:ascii="Times New Roman" w:hAnsi="Times New Roman" w:eastAsia="仿宋_GB2312" w:cs="仿宋_GB2312"/>
          <w:color w:val="auto"/>
          <w:sz w:val="28"/>
          <w:szCs w:val="28"/>
          <w:lang w:val="en-US" w:eastAsia="zh-CN"/>
        </w:rPr>
        <w:t>》文件，教育系统师资培训费项目立足新建区教师发展现状，开展国家、省市下达的各类统筹培训任务及分类开展自主培训。</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）项目实施情况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教育系统师资培训费项目计划完成思政素养培训120人次、语言能力素养培训118人次、师训管理员培训83人次、责任督学年度培训66人次、心理健康素养培训138人次；实际完成思政素养培训120人次、语言能力素养培训118人次、师训管理员培训83人次、责任督学年度培训66人次、心理健康素养培训138人次</w:t>
      </w:r>
      <w:r>
        <w:rPr>
          <w:rFonts w:hint="eastAsia" w:ascii="Times New Roman" w:hAnsi="Times New Roman" w:eastAsia="仿宋_GB2312" w:cs="仿宋_GB2312"/>
          <w:color w:val="auto"/>
          <w:sz w:val="28"/>
          <w:szCs w:val="28"/>
          <w:lang w:val="en-US" w:eastAsia="zh-CN"/>
        </w:rPr>
        <w:t>，</w:t>
      </w:r>
      <w:r>
        <w:rPr>
          <w:rFonts w:hint="eastAsia" w:ascii="Times New Roman" w:hAnsi="Times New Roman" w:eastAsia="仿宋_GB2312" w:cs="Times New Roman"/>
          <w:color w:val="auto"/>
          <w:sz w:val="28"/>
          <w:szCs w:val="28"/>
          <w:lang w:val="en-US" w:eastAsia="zh-CN"/>
        </w:rPr>
        <w:t>项目综合完成率100.00%。</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37" w:name="_Toc7433"/>
      <w:bookmarkStart w:id="38" w:name="_Toc553"/>
      <w:bookmarkStart w:id="39" w:name="_Toc22138"/>
      <w:r>
        <w:rPr>
          <w:rFonts w:ascii="Times New Roman" w:hAnsi="Times New Roman" w:eastAsia="仿宋_GB2312" w:cs="Times New Roman"/>
          <w:color w:val="auto"/>
        </w:rPr>
        <w:t>3.</w:t>
      </w:r>
      <w:r>
        <w:rPr>
          <w:rFonts w:hint="eastAsia" w:ascii="Times New Roman" w:hAnsi="Times New Roman" w:eastAsia="仿宋_GB2312" w:cs="Times New Roman"/>
          <w:color w:val="auto"/>
        </w:rPr>
        <w:t>资金投入和资金使用情况</w:t>
      </w:r>
      <w:bookmarkEnd w:id="37"/>
      <w:bookmarkEnd w:id="38"/>
      <w:bookmarkEnd w:id="39"/>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）资金投入情况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lang w:val="en-US" w:eastAsia="zh-CN"/>
        </w:rPr>
        <w:t>2022年教育系统师资培训费项目预算资金安排575.00万元；</w:t>
      </w:r>
      <w:r>
        <w:rPr>
          <w:rFonts w:hint="eastAsia" w:ascii="Times New Roman" w:hAnsi="Times New Roman" w:eastAsia="仿宋_GB2312" w:cs="仿宋_GB2312"/>
          <w:color w:val="auto"/>
          <w:sz w:val="28"/>
          <w:szCs w:val="28"/>
          <w:highlight w:val="none"/>
          <w:lang w:val="en-US" w:eastAsia="zh-CN"/>
        </w:rPr>
        <w:t>截</w:t>
      </w:r>
      <w:r>
        <w:rPr>
          <w:rFonts w:hint="eastAsia" w:ascii="Times New Roman" w:hAnsi="Times New Roman" w:eastAsia="仿宋_GB2312" w:cs="仿宋_GB2312"/>
          <w:color w:val="auto"/>
          <w:sz w:val="28"/>
          <w:szCs w:val="28"/>
          <w:lang w:val="en-US" w:eastAsia="zh-CN"/>
        </w:rPr>
        <w:t>至2022年12月31日，实际到位资金575.00万元，资金到位率100.00%。</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资金使用情况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color w:val="auto"/>
          <w:sz w:val="28"/>
          <w:szCs w:val="28"/>
          <w:lang w:val="en-US" w:eastAsia="zh-CN"/>
        </w:rPr>
      </w:pPr>
      <w:r>
        <w:rPr>
          <w:rFonts w:hint="eastAsia" w:ascii="Times New Roman" w:hAnsi="Times New Roman" w:eastAsia="仿宋_GB2312" w:cs="仿宋_GB2312"/>
          <w:color w:val="auto"/>
          <w:sz w:val="28"/>
          <w:szCs w:val="28"/>
        </w:rPr>
        <w:t>截</w:t>
      </w:r>
      <w:r>
        <w:rPr>
          <w:rFonts w:hint="eastAsia" w:ascii="Times New Roman" w:hAnsi="Times New Roman" w:eastAsia="仿宋_GB2312" w:cs="仿宋_GB2312"/>
          <w:color w:val="auto"/>
          <w:sz w:val="28"/>
          <w:szCs w:val="28"/>
          <w:lang w:val="en-US" w:eastAsia="zh-CN"/>
        </w:rPr>
        <w:t>至2022年12月31日，教育系统师资培训费项目到位资金575.00万元，实际支出资金为555.00万元，</w:t>
      </w:r>
      <w:bookmarkEnd w:id="32"/>
      <w:bookmarkStart w:id="40" w:name="_Toc512441861"/>
      <w:r>
        <w:rPr>
          <w:rFonts w:hint="eastAsia" w:ascii="Times New Roman" w:hAnsi="Times New Roman" w:eastAsia="仿宋_GB2312" w:cs="仿宋_GB2312"/>
          <w:color w:val="auto"/>
          <w:sz w:val="28"/>
          <w:szCs w:val="28"/>
          <w:lang w:val="en-US" w:eastAsia="zh-CN"/>
        </w:rPr>
        <w:t>预算资金执行率96.52%。项目资金主要用于</w:t>
      </w:r>
      <w:r>
        <w:rPr>
          <w:rFonts w:hint="eastAsia" w:ascii="Times New Roman" w:hAnsi="Times New Roman" w:eastAsia="仿宋_GB2312" w:cs="仿宋_GB2312"/>
          <w:b w:val="0"/>
          <w:bCs w:val="0"/>
          <w:color w:val="auto"/>
          <w:sz w:val="28"/>
          <w:szCs w:val="28"/>
          <w:lang w:val="en-US" w:eastAsia="zh-CN"/>
        </w:rPr>
        <w:t>开展</w:t>
      </w:r>
      <w:r>
        <w:rPr>
          <w:rFonts w:hint="eastAsia" w:ascii="Times New Roman" w:hAnsi="Times New Roman" w:eastAsia="仿宋_GB2312" w:cs="仿宋_GB2312"/>
          <w:color w:val="auto"/>
          <w:sz w:val="28"/>
          <w:szCs w:val="28"/>
          <w:lang w:val="en-US" w:eastAsia="zh-CN"/>
        </w:rPr>
        <w:t>国家、省市下达的各类统筹培训及自主培训任务</w:t>
      </w:r>
      <w:r>
        <w:rPr>
          <w:rFonts w:hint="eastAsia" w:ascii="Times New Roman" w:hAnsi="Times New Roman" w:eastAsia="仿宋_GB2312" w:cs="仿宋_GB2312"/>
          <w:b w:val="0"/>
          <w:bCs w:val="0"/>
          <w:color w:val="auto"/>
          <w:sz w:val="28"/>
          <w:szCs w:val="28"/>
          <w:lang w:val="en-US" w:eastAsia="zh-CN"/>
        </w:rPr>
        <w:t>，提升教师业务能力、以适应新时期新课程改革需求的教师队伍。</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rPr>
      </w:pPr>
      <w:bookmarkStart w:id="41" w:name="_Toc19473"/>
      <w:r>
        <w:rPr>
          <w:rFonts w:hint="eastAsia" w:ascii="Times New Roman" w:hAnsi="Times New Roman" w:eastAsia="楷体_GB2312" w:cs="楷体_GB2312"/>
          <w:color w:val="auto"/>
        </w:rPr>
        <w:t>（二）项目绩效目标</w:t>
      </w:r>
      <w:bookmarkEnd w:id="40"/>
      <w:bookmarkEnd w:id="41"/>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42" w:name="_Toc10715"/>
      <w:bookmarkStart w:id="43" w:name="_Toc31683"/>
      <w:bookmarkStart w:id="44" w:name="_Toc18658"/>
      <w:r>
        <w:rPr>
          <w:rFonts w:ascii="Times New Roman" w:hAnsi="Times New Roman" w:eastAsia="仿宋_GB2312" w:cs="Times New Roman"/>
          <w:color w:val="auto"/>
        </w:rPr>
        <w:t>1.</w:t>
      </w:r>
      <w:r>
        <w:rPr>
          <w:rFonts w:hint="eastAsia" w:ascii="Times New Roman" w:hAnsi="Times New Roman" w:eastAsia="仿宋_GB2312" w:cs="仿宋_GB2312"/>
          <w:color w:val="auto"/>
        </w:rPr>
        <w:t>项目绩效总目标</w:t>
      </w:r>
      <w:bookmarkEnd w:id="42"/>
      <w:bookmarkEnd w:id="43"/>
      <w:bookmarkEnd w:id="44"/>
    </w:p>
    <w:p>
      <w:pPr>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default" w:ascii="Times New Roman" w:hAnsi="Times New Roman" w:eastAsia="仿宋_GB2312" w:cs="仿宋_GB2312"/>
          <w:b w:val="0"/>
          <w:bCs w:val="0"/>
          <w:color w:val="auto"/>
          <w:sz w:val="28"/>
          <w:szCs w:val="28"/>
          <w:highlight w:val="yellow"/>
          <w:lang w:val="en-US" w:eastAsia="zh-CN"/>
        </w:rPr>
      </w:pPr>
      <w:r>
        <w:rPr>
          <w:rFonts w:hint="eastAsia" w:ascii="Times New Roman" w:hAnsi="Times New Roman" w:eastAsia="仿宋_GB2312" w:cs="仿宋_GB2312"/>
          <w:b w:val="0"/>
          <w:bCs w:val="0"/>
          <w:color w:val="auto"/>
          <w:sz w:val="28"/>
          <w:szCs w:val="28"/>
          <w:lang w:val="en-US" w:eastAsia="zh-CN"/>
        </w:rPr>
        <w:t>以习近平新时代中国特色社会主义思想为指导，促进教师专业化成长为目标，以加强项目管理和质量监控为抓手，提升区级培训和校本研修质量和水平为着力点，加强培训管理、拓宽培训途径、优化培训内容、创新培训模式，进一步探索教师专业发展培训工作模式，打造以“互联网+教师专业发展”全员培训为基础、国培省培为引导、区级培训为重点、校本培训为根本的培训格局，努力造就一支师德修养高、管理能力强、业务素质好、教学技能精、教学基本功硬、科研能力新、能适应新时期新课程改革需求的教师队伍，为新建区教育事业发展提供优质的师资保障</w:t>
      </w:r>
      <w:r>
        <w:rPr>
          <w:rFonts w:hint="eastAsia" w:ascii="Times New Roman" w:hAnsi="Times New Roman" w:eastAsia="仿宋_GB2312" w:cs="仿宋_GB2312"/>
          <w:b w:val="0"/>
          <w:bCs w:val="0"/>
          <w:color w:val="auto"/>
          <w:sz w:val="28"/>
          <w:szCs w:val="28"/>
          <w:highlight w:val="none"/>
          <w:lang w:val="en-US" w:eastAsia="zh-CN"/>
        </w:rPr>
        <w:t>。</w:t>
      </w:r>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auto"/>
        </w:rPr>
      </w:pPr>
      <w:bookmarkStart w:id="45" w:name="_Toc16915"/>
      <w:bookmarkStart w:id="46" w:name="_Toc12700"/>
      <w:bookmarkStart w:id="47" w:name="_Toc18686"/>
      <w:r>
        <w:rPr>
          <w:rFonts w:hint="eastAsia" w:ascii="Times New Roman" w:hAnsi="Times New Roman" w:eastAsia="仿宋_GB2312" w:cs="Times New Roman"/>
          <w:color w:val="auto"/>
          <w:lang w:val="en-US" w:eastAsia="zh-CN"/>
        </w:rPr>
        <w:t>2</w:t>
      </w:r>
      <w:r>
        <w:rPr>
          <w:rFonts w:ascii="Times New Roman" w:hAnsi="Times New Roman" w:eastAsia="仿宋_GB2312" w:cs="Times New Roman"/>
          <w:color w:val="auto"/>
        </w:rPr>
        <w:t>.</w:t>
      </w:r>
      <w:r>
        <w:rPr>
          <w:rFonts w:hint="eastAsia" w:ascii="Times New Roman" w:hAnsi="Times New Roman" w:eastAsia="仿宋_GB2312" w:cs="仿宋_GB2312"/>
          <w:color w:val="auto"/>
        </w:rPr>
        <w:t>项目绩效阶段性目标</w:t>
      </w:r>
      <w:bookmarkEnd w:id="45"/>
      <w:bookmarkEnd w:id="46"/>
      <w:bookmarkEnd w:id="47"/>
    </w:p>
    <w:p>
      <w:pPr>
        <w:pStyle w:val="2"/>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sz w:val="28"/>
          <w:szCs w:val="28"/>
          <w:lang w:val="en-US" w:eastAsia="zh-CN"/>
        </w:rPr>
      </w:pPr>
      <w:r>
        <w:rPr>
          <w:rFonts w:hint="eastAsia" w:ascii="Times New Roman" w:hAnsi="Times New Roman" w:eastAsia="仿宋_GB2312" w:cs="仿宋_GB2312"/>
          <w:b w:val="0"/>
          <w:bCs w:val="0"/>
          <w:color w:val="auto"/>
          <w:sz w:val="28"/>
          <w:szCs w:val="28"/>
          <w:lang w:val="en-US" w:eastAsia="zh-CN"/>
        </w:rPr>
        <w:t>新建区教育体育局着眼教师专业发展，以聚焦课堂教学、服务教育教学、提高培训实效为目标，以解决教育教学实际问题、提高教师教学能力为切入点，提升学校管理干部和教师管理、课程教学的理念与水平。不断创新培训新模式，丰富教师培训内容，强化教师培训管理，提升教师培训效果，全面提升教育人才队伍的整体素质和专业水平，力求本年度教师培训“创出新特色，取得新突破，产生新成效”；切实发挥师训工作为教育科学服务，为推进素质教育和提高教育质量服务，为教师专业成长服务的作用，提升师训工作在新建区教育和社会事业发展中的应有地位；同时，重点抓好区级重点项目和校本研修项目的质量监控工作，确保全区各级各类师训项目均能按照省、市有关教师专业发展培训质量管理工作规程的要求科学规范、保质保量。</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48" w:name="_Toc9601"/>
      <w:bookmarkStart w:id="49" w:name="_Toc512441862"/>
      <w:bookmarkStart w:id="50" w:name="_Toc32336"/>
      <w:r>
        <w:rPr>
          <w:rFonts w:hint="eastAsia" w:cs="黑体"/>
          <w:color w:val="auto"/>
        </w:rPr>
        <w:t>二、绩效评价工作情况</w:t>
      </w:r>
      <w:bookmarkEnd w:id="48"/>
      <w:bookmarkEnd w:id="49"/>
      <w:bookmarkEnd w:id="50"/>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51" w:name="_Toc23299"/>
      <w:bookmarkStart w:id="52" w:name="_Toc512441863"/>
      <w:bookmarkStart w:id="53" w:name="_Toc30698"/>
      <w:r>
        <w:rPr>
          <w:rFonts w:hint="eastAsia" w:ascii="Times New Roman" w:hAnsi="Times New Roman" w:eastAsia="楷体_GB2312" w:cs="楷体_GB2312"/>
          <w:color w:val="auto"/>
        </w:rPr>
        <w:t>（一）绩效评价目的</w:t>
      </w:r>
      <w:bookmarkEnd w:id="51"/>
      <w:bookmarkEnd w:id="52"/>
      <w:r>
        <w:rPr>
          <w:rFonts w:hint="eastAsia" w:ascii="Times New Roman" w:hAnsi="Times New Roman" w:eastAsia="楷体_GB2312" w:cs="楷体_GB2312"/>
          <w:color w:val="auto"/>
        </w:rPr>
        <w:t>、对象和范围</w:t>
      </w:r>
      <w:bookmarkEnd w:id="53"/>
    </w:p>
    <w:p>
      <w:pPr>
        <w:pStyle w:val="6"/>
        <w:keepNext/>
        <w:keepLines/>
        <w:pageBreakBefore w:val="0"/>
        <w:widowControl w:val="0"/>
        <w:kinsoku/>
        <w:wordWrap/>
        <w:overflowPunct/>
        <w:topLinePunct w:val="0"/>
        <w:autoSpaceDE/>
        <w:autoSpaceDN/>
        <w:bidi w:val="0"/>
        <w:adjustRightInd/>
        <w:snapToGrid/>
        <w:spacing w:line="600" w:lineRule="exact"/>
        <w:ind w:left="0" w:leftChars="0" w:firstLine="562" w:firstLineChars="200"/>
        <w:textAlignment w:val="auto"/>
        <w:rPr>
          <w:rFonts w:ascii="Times New Roman" w:hAnsi="Times New Roman" w:eastAsia="仿宋_GB2312" w:cs="Times New Roman"/>
          <w:color w:val="auto"/>
          <w:sz w:val="28"/>
          <w:szCs w:val="28"/>
        </w:rPr>
      </w:pPr>
      <w:bookmarkStart w:id="54" w:name="_Toc18372"/>
      <w:bookmarkStart w:id="55" w:name="_Toc29738"/>
      <w:bookmarkStart w:id="56" w:name="_Toc15721"/>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绩效评价目的</w:t>
      </w:r>
      <w:bookmarkEnd w:id="54"/>
      <w:bookmarkEnd w:id="55"/>
      <w:bookmarkEnd w:id="56"/>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根据</w:t>
      </w:r>
      <w:r>
        <w:rPr>
          <w:rFonts w:hint="eastAsia" w:ascii="Times New Roman" w:hAnsi="Times New Roman" w:eastAsia="仿宋_GB2312" w:cs="仿宋_GB2312"/>
          <w:color w:val="auto"/>
          <w:sz w:val="28"/>
          <w:szCs w:val="28"/>
          <w:lang w:eastAsia="zh-CN"/>
        </w:rPr>
        <w:t>编制年度预算时提交的财政支出项目绩效目标申报表及</w:t>
      </w:r>
      <w:r>
        <w:rPr>
          <w:rFonts w:hint="eastAsia" w:ascii="Times New Roman" w:hAnsi="Times New Roman" w:eastAsia="仿宋_GB2312" w:cs="仿宋_GB2312"/>
          <w:color w:val="auto"/>
          <w:sz w:val="28"/>
          <w:szCs w:val="28"/>
        </w:rPr>
        <w:t>项目设定的预期目标，选择合适的评价指标和标准，运用</w:t>
      </w:r>
      <w:r>
        <w:rPr>
          <w:rFonts w:hint="eastAsia" w:ascii="Times New Roman" w:hAnsi="Times New Roman" w:eastAsia="仿宋_GB2312" w:cs="仿宋_GB2312"/>
          <w:color w:val="auto"/>
          <w:sz w:val="28"/>
          <w:szCs w:val="28"/>
          <w:highlight w:val="none"/>
        </w:rPr>
        <w:t>科学的评价</w:t>
      </w:r>
      <w:r>
        <w:rPr>
          <w:rFonts w:hint="eastAsia" w:ascii="Times New Roman" w:hAnsi="Times New Roman" w:eastAsia="仿宋_GB2312" w:cs="仿宋_GB2312"/>
          <w:color w:val="auto"/>
          <w:sz w:val="28"/>
          <w:szCs w:val="28"/>
        </w:rPr>
        <w:t>方法，对资金使用全过程及其支出的经济性、效率性和效益性进行客观公正的综合评价，以衡量财政资金的使用绩效，分析支出项目是否达到预期目标。同时，及时总结经验，分析存在问题，进一步改进和加强资金管理，提高财政资金的使用效益。根据财政绩效评价的要求和项目实际情况，本次绩效评价的目的主要有：</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Times New Roman"/>
          <w:color w:val="auto"/>
          <w:sz w:val="28"/>
          <w:szCs w:val="28"/>
          <w:lang w:val="en-US" w:eastAsia="zh-CN"/>
        </w:rPr>
      </w:pPr>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掌握</w:t>
      </w:r>
      <w:r>
        <w:rPr>
          <w:rFonts w:hint="eastAsia" w:ascii="Times New Roman" w:hAnsi="Times New Roman" w:eastAsia="仿宋_GB2312" w:cs="仿宋_GB2312"/>
          <w:color w:val="auto"/>
          <w:sz w:val="28"/>
          <w:szCs w:val="28"/>
          <w:lang w:val="en-US" w:eastAsia="zh-CN"/>
        </w:rPr>
        <w:t>教育系统师资培训费项目</w:t>
      </w:r>
      <w:r>
        <w:rPr>
          <w:rFonts w:hint="eastAsia" w:ascii="Times New Roman" w:hAnsi="Times New Roman" w:eastAsia="仿宋_GB2312" w:cs="仿宋_GB2312"/>
          <w:color w:val="auto"/>
          <w:sz w:val="28"/>
          <w:szCs w:val="28"/>
        </w:rPr>
        <w:t>的资金申请拨付以及使用情况；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了解</w:t>
      </w:r>
      <w:r>
        <w:rPr>
          <w:rFonts w:hint="eastAsia" w:ascii="Times New Roman" w:hAnsi="Times New Roman" w:eastAsia="仿宋_GB2312" w:cs="仿宋_GB2312"/>
          <w:color w:val="auto"/>
          <w:sz w:val="28"/>
          <w:szCs w:val="28"/>
          <w:lang w:val="en-US" w:eastAsia="zh-CN"/>
        </w:rPr>
        <w:t>教育系统师资培训费项目</w:t>
      </w:r>
      <w:r>
        <w:rPr>
          <w:rFonts w:hint="eastAsia" w:ascii="Times New Roman" w:hAnsi="Times New Roman" w:eastAsia="仿宋_GB2312" w:cs="仿宋_GB2312"/>
          <w:color w:val="auto"/>
          <w:sz w:val="28"/>
          <w:szCs w:val="28"/>
        </w:rPr>
        <w:t>的产出与效益；</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发现</w:t>
      </w:r>
      <w:r>
        <w:rPr>
          <w:rFonts w:hint="eastAsia" w:ascii="Times New Roman" w:hAnsi="Times New Roman" w:eastAsia="仿宋_GB2312" w:cs="仿宋_GB2312"/>
          <w:color w:val="auto"/>
          <w:sz w:val="28"/>
          <w:szCs w:val="28"/>
          <w:lang w:val="en-US" w:eastAsia="zh-CN"/>
        </w:rPr>
        <w:t>教育系统师资培训费</w:t>
      </w:r>
      <w:r>
        <w:rPr>
          <w:rFonts w:hint="eastAsia" w:ascii="Times New Roman" w:hAnsi="Times New Roman" w:eastAsia="仿宋_GB2312" w:cs="仿宋_GB2312"/>
          <w:color w:val="auto"/>
          <w:sz w:val="28"/>
          <w:szCs w:val="28"/>
        </w:rPr>
        <w:t>项目经费使用及项目实施中存在的不足和问题，并提出有针对性、可操作的解决对策。</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562" w:firstLineChars="200"/>
        <w:textAlignment w:val="auto"/>
        <w:rPr>
          <w:rFonts w:ascii="Times New Roman" w:hAnsi="Times New Roman" w:eastAsia="仿宋_GB2312" w:cs="Times New Roman"/>
          <w:color w:val="auto"/>
          <w:sz w:val="28"/>
          <w:szCs w:val="28"/>
        </w:rPr>
      </w:pPr>
      <w:bookmarkStart w:id="57" w:name="_Toc24673"/>
      <w:bookmarkStart w:id="58" w:name="_Toc18910"/>
      <w:bookmarkStart w:id="59" w:name="_Toc17954"/>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评价对象</w:t>
      </w:r>
      <w:bookmarkEnd w:id="57"/>
      <w:bookmarkEnd w:id="58"/>
      <w:bookmarkEnd w:id="59"/>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仿宋_GB2312"/>
          <w:color w:val="auto"/>
          <w:sz w:val="28"/>
          <w:szCs w:val="28"/>
          <w:lang w:val="en-US" w:eastAsia="zh-CN"/>
        </w:rPr>
        <w:t>教育系统师资培训费项目，新建区教育体育局</w:t>
      </w:r>
      <w:r>
        <w:rPr>
          <w:rFonts w:hint="eastAsia" w:ascii="Times New Roman" w:hAnsi="Times New Roman" w:eastAsia="仿宋_GB2312" w:cs="仿宋_GB2312"/>
          <w:color w:val="auto"/>
          <w:sz w:val="28"/>
          <w:szCs w:val="28"/>
        </w:rPr>
        <w:t>为</w:t>
      </w:r>
      <w:r>
        <w:rPr>
          <w:rFonts w:hint="eastAsia" w:ascii="Times New Roman" w:hAnsi="Times New Roman" w:eastAsia="仿宋_GB2312" w:cs="仿宋_GB2312"/>
          <w:color w:val="auto"/>
          <w:sz w:val="28"/>
          <w:szCs w:val="28"/>
          <w:lang w:eastAsia="zh-CN"/>
        </w:rPr>
        <w:t>项目</w:t>
      </w:r>
      <w:r>
        <w:rPr>
          <w:rFonts w:hint="eastAsia" w:ascii="Times New Roman" w:hAnsi="Times New Roman" w:eastAsia="仿宋_GB2312" w:cs="仿宋_GB2312"/>
          <w:color w:val="auto"/>
          <w:sz w:val="28"/>
          <w:szCs w:val="28"/>
        </w:rPr>
        <w:t>主管单位，</w:t>
      </w:r>
      <w:r>
        <w:rPr>
          <w:rFonts w:hint="eastAsia" w:ascii="Times New Roman" w:hAnsi="Times New Roman" w:eastAsia="仿宋_GB2312" w:cs="仿宋_GB2312"/>
          <w:color w:val="auto"/>
          <w:sz w:val="28"/>
          <w:szCs w:val="28"/>
          <w:lang w:val="en-US" w:eastAsia="zh-CN"/>
        </w:rPr>
        <w:t>落实</w:t>
      </w:r>
      <w:r>
        <w:rPr>
          <w:rFonts w:hint="eastAsia" w:ascii="Times New Roman" w:hAnsi="Times New Roman" w:eastAsia="仿宋_GB2312" w:cs="Times New Roman"/>
          <w:b w:val="0"/>
          <w:kern w:val="2"/>
          <w:sz w:val="28"/>
          <w:szCs w:val="28"/>
          <w:lang w:val="en-US" w:eastAsia="zh-CN" w:bidi="ar-SA"/>
        </w:rPr>
        <w:t>项目监督管理工作，监控项目实施成效，</w:t>
      </w:r>
      <w:r>
        <w:rPr>
          <w:rFonts w:hint="eastAsia" w:ascii="Times New Roman" w:hAnsi="Times New Roman" w:eastAsia="仿宋_GB2312" w:cs="仿宋_GB2312"/>
          <w:color w:val="auto"/>
          <w:sz w:val="28"/>
          <w:szCs w:val="28"/>
          <w:lang w:eastAsia="zh-CN"/>
        </w:rPr>
        <w:t>由新建区教育体育局组织人事股组织实施，</w:t>
      </w:r>
      <w:r>
        <w:rPr>
          <w:rFonts w:hint="eastAsia" w:ascii="Times New Roman" w:hAnsi="Times New Roman" w:eastAsia="仿宋_GB2312" w:cs="Times New Roman"/>
          <w:b w:val="0"/>
          <w:kern w:val="2"/>
          <w:sz w:val="28"/>
          <w:szCs w:val="28"/>
          <w:lang w:val="en-US" w:eastAsia="zh-CN" w:bidi="ar-SA"/>
        </w:rPr>
        <w:t>保证项目合规、高效完成</w:t>
      </w:r>
      <w:r>
        <w:rPr>
          <w:rFonts w:hint="eastAsia" w:ascii="Times New Roman" w:hAnsi="Times New Roman" w:eastAsia="仿宋_GB2312" w:cs="仿宋_GB2312"/>
          <w:color w:val="auto"/>
          <w:sz w:val="28"/>
          <w:szCs w:val="28"/>
          <w:lang w:eastAsia="zh-CN"/>
        </w:rPr>
        <w:t>。</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562" w:firstLineChars="200"/>
        <w:textAlignment w:val="auto"/>
        <w:rPr>
          <w:rFonts w:ascii="Times New Roman" w:hAnsi="Times New Roman" w:eastAsia="仿宋_GB2312" w:cs="Times New Roman"/>
          <w:color w:val="auto"/>
        </w:rPr>
      </w:pPr>
      <w:bookmarkStart w:id="60" w:name="_Toc30646"/>
      <w:bookmarkStart w:id="61" w:name="_Toc9793"/>
      <w:bookmarkStart w:id="62" w:name="_Toc29886"/>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评价范围</w:t>
      </w:r>
      <w:bookmarkEnd w:id="60"/>
      <w:bookmarkEnd w:id="61"/>
      <w:bookmarkEnd w:id="62"/>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lang w:val="en-US" w:eastAsia="zh-CN"/>
        </w:rPr>
        <w:t>教育系统师资培训费项目预算资金575.00万元</w:t>
      </w:r>
      <w:r>
        <w:rPr>
          <w:rFonts w:hint="eastAsia" w:ascii="Times New Roman" w:hAnsi="Times New Roman" w:eastAsia="仿宋_GB2312" w:cs="仿宋_GB2312"/>
          <w:color w:val="auto"/>
          <w:sz w:val="28"/>
          <w:szCs w:val="28"/>
        </w:rPr>
        <w:t>；实施范围为</w:t>
      </w:r>
      <w:r>
        <w:rPr>
          <w:rFonts w:hint="eastAsia" w:ascii="Times New Roman" w:hAnsi="Times New Roman" w:eastAsia="仿宋_GB2312" w:cs="仿宋_GB2312"/>
          <w:color w:val="auto"/>
          <w:sz w:val="28"/>
          <w:szCs w:val="28"/>
          <w:lang w:val="en-US" w:eastAsia="zh-CN"/>
        </w:rPr>
        <w:t>各类教师培训工作</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包括</w:t>
      </w:r>
      <w:r>
        <w:rPr>
          <w:rFonts w:hint="eastAsia" w:ascii="Times New Roman" w:hAnsi="Times New Roman" w:eastAsia="仿宋_GB2312" w:cs="仿宋_GB2312"/>
          <w:color w:val="auto"/>
          <w:sz w:val="28"/>
          <w:szCs w:val="28"/>
        </w:rPr>
        <w:t>项目具体实施</w:t>
      </w:r>
      <w:r>
        <w:rPr>
          <w:rFonts w:hint="eastAsia" w:ascii="Times New Roman" w:hAnsi="Times New Roman" w:eastAsia="仿宋_GB2312" w:cs="仿宋_GB2312"/>
          <w:color w:val="auto"/>
          <w:sz w:val="28"/>
          <w:szCs w:val="28"/>
          <w:lang w:eastAsia="zh-CN"/>
        </w:rPr>
        <w:t>、完成</w:t>
      </w:r>
      <w:r>
        <w:rPr>
          <w:rFonts w:hint="eastAsia" w:ascii="Times New Roman" w:hAnsi="Times New Roman" w:eastAsia="仿宋_GB2312" w:cs="仿宋_GB2312"/>
          <w:color w:val="auto"/>
          <w:sz w:val="28"/>
          <w:szCs w:val="28"/>
        </w:rPr>
        <w:t>情况</w:t>
      </w:r>
      <w:r>
        <w:rPr>
          <w:rFonts w:hint="eastAsia" w:ascii="Times New Roman" w:hAnsi="Times New Roman" w:eastAsia="仿宋_GB2312" w:cs="仿宋_GB2312"/>
          <w:color w:val="auto"/>
          <w:sz w:val="28"/>
          <w:szCs w:val="28"/>
          <w:lang w:eastAsia="zh-CN"/>
        </w:rPr>
        <w:t>以及</w:t>
      </w:r>
      <w:r>
        <w:rPr>
          <w:rFonts w:hint="eastAsia" w:ascii="Times New Roman" w:hAnsi="Times New Roman" w:eastAsia="仿宋_GB2312" w:cs="仿宋_GB2312"/>
          <w:color w:val="auto"/>
          <w:sz w:val="28"/>
          <w:szCs w:val="28"/>
          <w:lang w:val="en-US" w:eastAsia="zh-CN"/>
        </w:rPr>
        <w:t>社会公众</w:t>
      </w:r>
      <w:r>
        <w:rPr>
          <w:rFonts w:hint="eastAsia" w:ascii="Times New Roman" w:hAnsi="Times New Roman" w:eastAsia="仿宋_GB2312" w:cs="仿宋_GB2312"/>
          <w:color w:val="auto"/>
          <w:sz w:val="28"/>
          <w:szCs w:val="28"/>
        </w:rPr>
        <w:t>满意度等</w:t>
      </w:r>
      <w:r>
        <w:rPr>
          <w:rFonts w:hint="eastAsia" w:ascii="Times New Roman" w:hAnsi="Times New Roman" w:eastAsia="仿宋_GB2312" w:cs="仿宋_GB2312"/>
          <w:color w:val="auto"/>
          <w:sz w:val="28"/>
          <w:szCs w:val="28"/>
          <w:lang w:eastAsia="zh-CN"/>
        </w:rPr>
        <w:t>，评价项目</w:t>
      </w:r>
      <w:r>
        <w:rPr>
          <w:rFonts w:hint="eastAsia" w:ascii="Times New Roman" w:hAnsi="Times New Roman" w:eastAsia="仿宋_GB2312" w:cs="仿宋_GB2312"/>
          <w:color w:val="auto"/>
          <w:sz w:val="28"/>
          <w:szCs w:val="28"/>
        </w:rPr>
        <w:t>时</w:t>
      </w:r>
      <w:r>
        <w:rPr>
          <w:rFonts w:hint="eastAsia" w:ascii="Times New Roman" w:hAnsi="Times New Roman" w:eastAsia="仿宋_GB2312" w:cs="仿宋_GB2312"/>
          <w:color w:val="auto"/>
          <w:sz w:val="28"/>
          <w:szCs w:val="28"/>
          <w:lang w:eastAsia="zh-CN"/>
        </w:rPr>
        <w:t>段</w:t>
      </w:r>
      <w:r>
        <w:rPr>
          <w:rFonts w:hint="eastAsia" w:ascii="Times New Roman" w:hAnsi="Times New Roman" w:eastAsia="仿宋_GB2312" w:cs="仿宋_GB2312"/>
          <w:color w:val="auto"/>
          <w:sz w:val="28"/>
          <w:szCs w:val="28"/>
        </w:rPr>
        <w:t>为</w:t>
      </w:r>
      <w:r>
        <w:rPr>
          <w:rFonts w:hint="eastAsia" w:ascii="Times New Roman" w:hAnsi="Times New Roman" w:eastAsia="仿宋_GB2312" w:cs="Times New Roman"/>
          <w:color w:val="auto"/>
          <w:sz w:val="28"/>
          <w:szCs w:val="28"/>
          <w:lang w:eastAsia="zh-CN"/>
        </w:rPr>
        <w:t>202</w:t>
      </w:r>
      <w:r>
        <w:rPr>
          <w:rFonts w:hint="eastAsia"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lang w:eastAsia="zh-CN"/>
        </w:rPr>
        <w:t>年1月1日至202</w:t>
      </w:r>
      <w:r>
        <w:rPr>
          <w:rFonts w:hint="eastAsia" w:ascii="Times New Roman" w:hAnsi="Times New Roman" w:eastAsia="仿宋_GB2312" w:cs="Times New Roman"/>
          <w:color w:val="auto"/>
          <w:sz w:val="28"/>
          <w:szCs w:val="28"/>
          <w:lang w:val="en-US" w:eastAsia="zh-CN"/>
        </w:rPr>
        <w:t>2</w:t>
      </w:r>
      <w:r>
        <w:rPr>
          <w:rFonts w:hint="eastAsia" w:ascii="Times New Roman" w:hAnsi="Times New Roman" w:eastAsia="仿宋_GB2312" w:cs="Times New Roman"/>
          <w:color w:val="auto"/>
          <w:sz w:val="28"/>
          <w:szCs w:val="28"/>
          <w:lang w:eastAsia="zh-CN"/>
        </w:rPr>
        <w:t>年12月31日</w:t>
      </w:r>
      <w:r>
        <w:rPr>
          <w:rFonts w:hint="eastAsia" w:ascii="Times New Roman" w:hAnsi="Times New Roman" w:eastAsia="仿宋_GB2312" w:cs="仿宋_GB2312"/>
          <w:color w:val="auto"/>
          <w:sz w:val="28"/>
          <w:szCs w:val="28"/>
        </w:rPr>
        <w:t>。</w:t>
      </w:r>
    </w:p>
    <w:p>
      <w:pPr>
        <w:pStyle w:val="5"/>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63" w:name="_Toc512441865"/>
      <w:bookmarkStart w:id="64" w:name="_Toc6611"/>
      <w:bookmarkStart w:id="65" w:name="_Toc14749"/>
      <w:r>
        <w:rPr>
          <w:rFonts w:hint="eastAsia" w:ascii="Times New Roman" w:hAnsi="Times New Roman" w:eastAsia="楷体_GB2312" w:cs="楷体_GB2312"/>
          <w:color w:val="auto"/>
        </w:rPr>
        <w:t>（二）绩效评价</w:t>
      </w:r>
      <w:bookmarkEnd w:id="63"/>
      <w:bookmarkEnd w:id="64"/>
      <w:r>
        <w:rPr>
          <w:rFonts w:hint="eastAsia" w:ascii="Times New Roman" w:hAnsi="Times New Roman" w:eastAsia="楷体_GB2312" w:cs="楷体_GB2312"/>
          <w:color w:val="auto"/>
        </w:rPr>
        <w:t>原则、评价指标体系、评价方法、评价标准</w:t>
      </w:r>
      <w:bookmarkEnd w:id="65"/>
    </w:p>
    <w:p>
      <w:pPr>
        <w:pStyle w:val="6"/>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66" w:name="_Toc15313"/>
      <w:bookmarkStart w:id="67" w:name="_Toc17481"/>
      <w:bookmarkStart w:id="68" w:name="_Toc6642"/>
      <w:bookmarkStart w:id="69" w:name="_Toc576"/>
      <w:bookmarkStart w:id="70" w:name="_Toc512441866"/>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绩效评价原则</w:t>
      </w:r>
      <w:bookmarkEnd w:id="66"/>
      <w:bookmarkEnd w:id="67"/>
      <w:bookmarkEnd w:id="68"/>
      <w:bookmarkEnd w:id="69"/>
      <w:bookmarkEnd w:id="70"/>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绩效评价遵循以下基本原则：</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（一）科学公正。绩效评价应当运用科学合理的方法，按照规范的程序，对项目绩效进行客观、公正的反映。</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二）统筹兼顾。单位自评、部门评价和财政评价应职责明确，各有侧重，相互衔接。单位自评应由项目单位自主实施，即“谁支出、谁自评”。部门评价和财政评价应在单位自评的基础上开展，必要时可委托第三方机构实施。</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（三）激励约束。绩效评价结果应与预算安排、政策调整、改进管理实质性挂钩，体现奖优罚劣和激励相容导向，有效要安排、低效要压减、无效要问责。</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（四）公开透明。绩效评价结果应依法依规公开，并自觉接受社会监督。</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根据以上原则，绩效评价应达到如下要求：</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）在数据采集时，采取各</w:t>
      </w:r>
      <w:r>
        <w:rPr>
          <w:rFonts w:hint="eastAsia" w:ascii="Times New Roman" w:hAnsi="Times New Roman" w:eastAsia="仿宋_GB2312" w:cs="仿宋_GB2312"/>
          <w:color w:val="auto"/>
          <w:sz w:val="28"/>
          <w:szCs w:val="28"/>
          <w:lang w:val="en-US" w:eastAsia="zh-CN"/>
        </w:rPr>
        <w:t>项目责任单位</w:t>
      </w:r>
      <w:r>
        <w:rPr>
          <w:rFonts w:hint="eastAsia" w:ascii="Times New Roman" w:hAnsi="Times New Roman" w:eastAsia="仿宋_GB2312" w:cs="仿宋_GB2312"/>
          <w:color w:val="auto"/>
          <w:sz w:val="28"/>
          <w:szCs w:val="28"/>
        </w:rPr>
        <w:t>提供客观数据，</w:t>
      </w:r>
      <w:r>
        <w:rPr>
          <w:rFonts w:hint="eastAsia" w:ascii="Times New Roman" w:hAnsi="Times New Roman" w:eastAsia="仿宋_GB2312" w:cs="仿宋_GB2312"/>
          <w:color w:val="auto"/>
          <w:sz w:val="28"/>
          <w:szCs w:val="28"/>
          <w:lang w:val="en-US" w:eastAsia="zh-CN"/>
        </w:rPr>
        <w:t>第三方机构</w:t>
      </w:r>
      <w:r>
        <w:rPr>
          <w:rFonts w:hint="eastAsia" w:ascii="Times New Roman" w:hAnsi="Times New Roman" w:eastAsia="仿宋_GB2312" w:cs="仿宋_GB2312"/>
          <w:color w:val="auto"/>
          <w:sz w:val="28"/>
          <w:szCs w:val="28"/>
          <w:lang w:eastAsia="zh-CN"/>
        </w:rPr>
        <w:t>现场查阅、复核</w:t>
      </w:r>
      <w:r>
        <w:rPr>
          <w:rFonts w:hint="eastAsia" w:ascii="Times New Roman" w:hAnsi="Times New Roman" w:eastAsia="仿宋_GB2312" w:cs="仿宋_GB2312"/>
          <w:color w:val="auto"/>
          <w:sz w:val="28"/>
          <w:szCs w:val="28"/>
        </w:rPr>
        <w:t>，以确保各项指标的数据真实性。</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）保证评价结果的真实性、公正性，提高评价报告的公信力。</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）绩效评价报告应当简明扼要，除了对绩效评价的过程、结果描述外，还应总结经验，指出问题，并就共性问题提出可操作性改进建议。</w:t>
      </w:r>
    </w:p>
    <w:p>
      <w:pPr>
        <w:pStyle w:val="6"/>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71" w:name="_Toc18693"/>
      <w:bookmarkStart w:id="72" w:name="_Toc7432"/>
      <w:bookmarkStart w:id="73" w:name="_Toc30334"/>
      <w:bookmarkStart w:id="74" w:name="_Toc512441867"/>
      <w:bookmarkStart w:id="75" w:name="_Toc22760"/>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评价指标体系</w:t>
      </w:r>
      <w:bookmarkEnd w:id="71"/>
      <w:bookmarkEnd w:id="72"/>
      <w:bookmarkEnd w:id="73"/>
      <w:bookmarkEnd w:id="74"/>
      <w:bookmarkEnd w:id="75"/>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根据财政部《预算绩效评价共性指标体系框架》等文件精神，确定本次绩效评价指标的整体框架。针对项目构建一套指标体系，项目指标包括项目</w:t>
      </w:r>
      <w:r>
        <w:rPr>
          <w:rFonts w:hint="eastAsia" w:ascii="Times New Roman" w:hAnsi="Times New Roman" w:eastAsia="仿宋_GB2312" w:cs="仿宋_GB2312"/>
          <w:color w:val="auto"/>
          <w:sz w:val="28"/>
          <w:szCs w:val="28"/>
          <w:lang w:eastAsia="zh-CN"/>
        </w:rPr>
        <w:t>决策</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项目立项、绩效目标、资金投入</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项目过程（资金管理、组织实施），</w:t>
      </w:r>
      <w:r>
        <w:rPr>
          <w:rFonts w:hint="eastAsia" w:ascii="Times New Roman" w:hAnsi="Times New Roman" w:eastAsia="仿宋_GB2312" w:cs="仿宋_GB2312"/>
          <w:color w:val="auto"/>
          <w:sz w:val="28"/>
          <w:szCs w:val="28"/>
        </w:rPr>
        <w:t>项目产出（产出数量、产出质量、产出时效、产出成本），项目效益（社会效益、</w:t>
      </w:r>
      <w:r>
        <w:rPr>
          <w:rFonts w:hint="eastAsia" w:ascii="Times New Roman" w:hAnsi="Times New Roman" w:eastAsia="仿宋_GB2312" w:cs="仿宋_GB2312"/>
          <w:color w:val="auto"/>
          <w:sz w:val="28"/>
          <w:szCs w:val="28"/>
          <w:lang w:val="en-US" w:eastAsia="zh-CN"/>
        </w:rPr>
        <w:t>生态</w:t>
      </w:r>
      <w:r>
        <w:rPr>
          <w:rFonts w:hint="eastAsia" w:ascii="Times New Roman" w:hAnsi="Times New Roman" w:eastAsia="仿宋_GB2312" w:cs="仿宋_GB2312"/>
          <w:color w:val="auto"/>
          <w:sz w:val="28"/>
          <w:szCs w:val="28"/>
        </w:rPr>
        <w:t>效益、可持续影响</w:t>
      </w:r>
      <w:r>
        <w:rPr>
          <w:rFonts w:hint="eastAsia" w:ascii="Times New Roman" w:hAnsi="Times New Roman" w:eastAsia="仿宋_GB2312" w:cs="仿宋_GB2312"/>
          <w:color w:val="auto"/>
          <w:sz w:val="28"/>
          <w:szCs w:val="28"/>
          <w:lang w:eastAsia="zh-CN"/>
        </w:rPr>
        <w:t>、服务对象满意度</w:t>
      </w:r>
      <w:r>
        <w:rPr>
          <w:rFonts w:hint="eastAsia" w:ascii="Times New Roman" w:hAnsi="Times New Roman" w:eastAsia="仿宋_GB2312" w:cs="仿宋_GB2312"/>
          <w:color w:val="auto"/>
          <w:sz w:val="28"/>
          <w:szCs w:val="28"/>
        </w:rPr>
        <w:t>）。结合项目工作情况等内容，确定本次绩效评价指标体系的个性指标，设置</w:t>
      </w:r>
      <w:r>
        <w:rPr>
          <w:rFonts w:hint="eastAsia" w:ascii="Times New Roman" w:hAnsi="Times New Roman" w:eastAsia="仿宋_GB2312" w:cs="仿宋_GB2312"/>
          <w:color w:val="auto"/>
          <w:sz w:val="28"/>
          <w:szCs w:val="28"/>
          <w:lang w:eastAsia="zh-CN"/>
        </w:rPr>
        <w:t>项目绩效评分指标</w:t>
      </w:r>
      <w:r>
        <w:rPr>
          <w:rFonts w:hint="eastAsia" w:ascii="Times New Roman" w:hAnsi="Times New Roman" w:eastAsia="仿宋_GB2312" w:cs="仿宋_GB2312"/>
          <w:color w:val="auto"/>
          <w:sz w:val="28"/>
          <w:szCs w:val="28"/>
        </w:rPr>
        <w:t>表</w:t>
      </w:r>
      <w:r>
        <w:rPr>
          <w:rFonts w:hint="eastAsia" w:ascii="Times New Roman" w:hAnsi="Times New Roman" w:eastAsia="仿宋_GB2312" w:cs="Times New Roman"/>
          <w:color w:val="auto"/>
          <w:sz w:val="28"/>
          <w:szCs w:val="28"/>
          <w:lang w:eastAsia="zh-CN"/>
        </w:rPr>
        <w:t>一</w:t>
      </w:r>
      <w:r>
        <w:rPr>
          <w:rFonts w:hint="eastAsia" w:ascii="Times New Roman" w:hAnsi="Times New Roman" w:eastAsia="仿宋_GB2312" w:cs="仿宋_GB2312"/>
          <w:color w:val="auto"/>
          <w:sz w:val="28"/>
          <w:szCs w:val="28"/>
        </w:rPr>
        <w:t>套，三级指标</w:t>
      </w:r>
      <w:r>
        <w:rPr>
          <w:rFonts w:hint="eastAsia" w:ascii="Times New Roman" w:hAnsi="Times New Roman" w:eastAsia="仿宋_GB2312" w:cs="仿宋_GB2312"/>
          <w:color w:val="auto"/>
          <w:sz w:val="28"/>
          <w:szCs w:val="28"/>
          <w:lang w:val="en-US" w:eastAsia="zh-CN"/>
        </w:rPr>
        <w:t>25</w:t>
      </w:r>
      <w:r>
        <w:rPr>
          <w:rFonts w:hint="eastAsia" w:ascii="Times New Roman" w:hAnsi="Times New Roman" w:eastAsia="仿宋_GB2312" w:cs="仿宋_GB2312"/>
          <w:color w:val="auto"/>
          <w:sz w:val="28"/>
          <w:szCs w:val="28"/>
        </w:rPr>
        <w:t>个。指标数据来源于相关法规、政府文件、基础数据采集、问卷调查和访谈等。具体详见附件</w:t>
      </w:r>
      <w:r>
        <w:rPr>
          <w:rFonts w:hint="eastAsia" w:eastAsia="仿宋_GB2312" w:cs="仿宋_GB2312"/>
          <w:color w:val="auto"/>
          <w:sz w:val="28"/>
          <w:szCs w:val="28"/>
          <w:lang w:val="en-US" w:eastAsia="zh-CN"/>
        </w:rPr>
        <w:t>1</w:t>
      </w:r>
      <w:r>
        <w:rPr>
          <w:rFonts w:hint="eastAsia" w:ascii="Times New Roman" w:hAnsi="Times New Roman" w:eastAsia="仿宋_GB2312" w:cs="Times New Roman"/>
          <w:color w:val="auto"/>
          <w:sz w:val="28"/>
          <w:szCs w:val="28"/>
          <w:lang w:val="en-US" w:eastAsia="zh-CN"/>
        </w:rPr>
        <w:t>－</w:t>
      </w:r>
      <w:r>
        <w:rPr>
          <w:rFonts w:hint="eastAsia" w:ascii="Times New Roman" w:hAnsi="Times New Roman" w:eastAsia="仿宋_GB2312" w:cs="仿宋_GB2312"/>
          <w:color w:val="auto"/>
          <w:sz w:val="28"/>
          <w:szCs w:val="28"/>
        </w:rPr>
        <w:t>项目支出绩效评</w:t>
      </w:r>
      <w:r>
        <w:rPr>
          <w:rFonts w:hint="eastAsia" w:ascii="Times New Roman" w:hAnsi="Times New Roman" w:eastAsia="仿宋_GB2312" w:cs="仿宋_GB2312"/>
          <w:color w:val="auto"/>
          <w:sz w:val="28"/>
          <w:szCs w:val="28"/>
          <w:lang w:eastAsia="zh-CN"/>
        </w:rPr>
        <w:t>分</w:t>
      </w:r>
      <w:r>
        <w:rPr>
          <w:rFonts w:hint="eastAsia" w:ascii="Times New Roman" w:hAnsi="Times New Roman" w:eastAsia="仿宋_GB2312" w:cs="仿宋_GB2312"/>
          <w:color w:val="auto"/>
          <w:sz w:val="28"/>
          <w:szCs w:val="28"/>
        </w:rPr>
        <w:t>表。</w:t>
      </w:r>
    </w:p>
    <w:p>
      <w:pPr>
        <w:pageBreakBefore w:val="0"/>
        <w:widowControl w:val="0"/>
        <w:numPr>
          <w:ilvl w:val="0"/>
          <w:numId w:val="1"/>
        </w:numPr>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项目</w:t>
      </w:r>
      <w:r>
        <w:rPr>
          <w:rFonts w:hint="eastAsia" w:ascii="Times New Roman" w:hAnsi="Times New Roman" w:eastAsia="仿宋_GB2312" w:cs="仿宋_GB2312"/>
          <w:color w:val="auto"/>
          <w:sz w:val="28"/>
          <w:szCs w:val="28"/>
          <w:lang w:eastAsia="zh-CN"/>
        </w:rPr>
        <w:t>决策</w:t>
      </w:r>
      <w:r>
        <w:rPr>
          <w:rFonts w:hint="eastAsia" w:ascii="Times New Roman" w:hAnsi="Times New Roman" w:eastAsia="仿宋_GB2312" w:cs="仿宋_GB2312"/>
          <w:color w:val="auto"/>
          <w:sz w:val="28"/>
          <w:szCs w:val="28"/>
        </w:rPr>
        <w:t>：占权重</w:t>
      </w:r>
      <w:r>
        <w:rPr>
          <w:rFonts w:hint="eastAsia" w:ascii="Times New Roman" w:hAnsi="Times New Roman" w:eastAsia="仿宋_GB2312" w:cs="仿宋_GB2312"/>
          <w:color w:val="auto"/>
          <w:sz w:val="28"/>
          <w:szCs w:val="28"/>
          <w:lang w:val="en-US" w:eastAsia="zh-CN"/>
        </w:rPr>
        <w:t>20</w:t>
      </w:r>
      <w:r>
        <w:rPr>
          <w:rFonts w:hint="eastAsia" w:ascii="Times New Roman" w:hAnsi="Times New Roman" w:eastAsia="仿宋_GB2312" w:cs="仿宋_GB2312"/>
          <w:color w:val="auto"/>
          <w:sz w:val="28"/>
          <w:szCs w:val="28"/>
        </w:rPr>
        <w:t>分，用于考核</w:t>
      </w:r>
      <w:r>
        <w:rPr>
          <w:rFonts w:hint="eastAsia" w:ascii="Times New Roman" w:hAnsi="Times New Roman" w:eastAsia="仿宋_GB2312" w:cs="仿宋_GB2312"/>
          <w:color w:val="auto"/>
          <w:sz w:val="28"/>
          <w:szCs w:val="28"/>
          <w:lang w:eastAsia="zh-CN"/>
        </w:rPr>
        <w:t>项目立项依据规范性、绩效目标编制合理性、预算资金编制分配合理性等</w:t>
      </w:r>
      <w:r>
        <w:rPr>
          <w:rFonts w:hint="eastAsia" w:ascii="Times New Roman" w:hAnsi="Times New Roman" w:eastAsia="仿宋_GB2312" w:cs="仿宋_GB2312"/>
          <w:color w:val="auto"/>
          <w:sz w:val="28"/>
          <w:szCs w:val="28"/>
        </w:rPr>
        <w:t>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color w:val="auto"/>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）项目</w:t>
      </w:r>
      <w:r>
        <w:rPr>
          <w:rFonts w:hint="eastAsia" w:ascii="Times New Roman" w:hAnsi="Times New Roman" w:eastAsia="仿宋_GB2312" w:cs="仿宋_GB2312"/>
          <w:color w:val="auto"/>
          <w:sz w:val="28"/>
          <w:szCs w:val="28"/>
          <w:lang w:eastAsia="zh-CN"/>
        </w:rPr>
        <w:t>过程</w:t>
      </w:r>
      <w:r>
        <w:rPr>
          <w:rFonts w:hint="eastAsia" w:ascii="Times New Roman" w:hAnsi="Times New Roman" w:eastAsia="仿宋_GB2312" w:cs="仿宋_GB2312"/>
          <w:color w:val="auto"/>
          <w:sz w:val="28"/>
          <w:szCs w:val="28"/>
        </w:rPr>
        <w:t>：占权重</w:t>
      </w:r>
      <w:r>
        <w:rPr>
          <w:rFonts w:hint="eastAsia" w:ascii="Times New Roman" w:hAnsi="Times New Roman" w:eastAsia="仿宋_GB2312" w:cs="仿宋_GB2312"/>
          <w:color w:val="auto"/>
          <w:sz w:val="28"/>
          <w:szCs w:val="28"/>
          <w:lang w:val="en-US" w:eastAsia="zh-CN"/>
        </w:rPr>
        <w:t>20</w:t>
      </w:r>
      <w:r>
        <w:rPr>
          <w:rFonts w:hint="eastAsia" w:ascii="Times New Roman" w:hAnsi="Times New Roman" w:eastAsia="仿宋_GB2312" w:cs="仿宋_GB2312"/>
          <w:color w:val="auto"/>
          <w:sz w:val="28"/>
          <w:szCs w:val="28"/>
        </w:rPr>
        <w:t>分，</w:t>
      </w:r>
      <w:r>
        <w:rPr>
          <w:rFonts w:hint="eastAsia" w:ascii="Times New Roman" w:hAnsi="Times New Roman" w:eastAsia="仿宋_GB2312" w:cs="仿宋_GB2312"/>
          <w:color w:val="auto"/>
          <w:sz w:val="28"/>
          <w:szCs w:val="28"/>
          <w:lang w:eastAsia="zh-CN"/>
        </w:rPr>
        <w:t>用于考核预算资金到位及执行使用的合规性、项目管理制度健全及有效性等情况。</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hint="eastAsia" w:ascii="Times New Roman" w:hAnsi="Times New Roman" w:eastAsia="仿宋_GB2312" w:cs="Times New Roman"/>
          <w:color w:val="auto"/>
          <w:sz w:val="28"/>
          <w:szCs w:val="28"/>
          <w:lang w:val="en-US" w:eastAsia="zh-CN"/>
        </w:rPr>
        <w:t>3</w:t>
      </w:r>
      <w:r>
        <w:rPr>
          <w:rFonts w:hint="eastAsia" w:ascii="Times New Roman" w:hAnsi="Times New Roman" w:eastAsia="仿宋_GB2312" w:cs="仿宋_GB2312"/>
          <w:color w:val="auto"/>
          <w:sz w:val="28"/>
          <w:szCs w:val="28"/>
        </w:rPr>
        <w:t>）项目产出：占权重</w:t>
      </w:r>
      <w:r>
        <w:rPr>
          <w:rFonts w:hint="eastAsia" w:ascii="Times New Roman" w:hAnsi="Times New Roman" w:eastAsia="仿宋_GB2312" w:cs="仿宋_GB2312"/>
          <w:color w:val="auto"/>
          <w:sz w:val="28"/>
          <w:szCs w:val="28"/>
          <w:lang w:val="en-US" w:eastAsia="zh-CN"/>
        </w:rPr>
        <w:t>34</w:t>
      </w:r>
      <w:r>
        <w:rPr>
          <w:rFonts w:hint="eastAsia" w:ascii="Times New Roman" w:hAnsi="Times New Roman" w:eastAsia="仿宋_GB2312" w:cs="仿宋_GB2312"/>
          <w:color w:val="auto"/>
          <w:sz w:val="28"/>
          <w:szCs w:val="28"/>
        </w:rPr>
        <w:t>分，分为产出数量、产出质量、产出时效、产出成本四个方面，于衡量实际工作成果。</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w:t>
      </w:r>
      <w:r>
        <w:rPr>
          <w:rFonts w:hint="eastAsia" w:ascii="Times New Roman" w:hAnsi="Times New Roman" w:eastAsia="仿宋_GB2312" w:cs="Times New Roman"/>
          <w:color w:val="auto"/>
          <w:sz w:val="28"/>
          <w:szCs w:val="28"/>
          <w:lang w:val="en-US" w:eastAsia="zh-CN"/>
        </w:rPr>
        <w:t>4</w:t>
      </w:r>
      <w:r>
        <w:rPr>
          <w:rFonts w:hint="eastAsia" w:ascii="Times New Roman" w:hAnsi="Times New Roman" w:eastAsia="仿宋_GB2312" w:cs="仿宋_GB2312"/>
          <w:color w:val="auto"/>
          <w:sz w:val="28"/>
          <w:szCs w:val="28"/>
        </w:rPr>
        <w:t>）项目效益：占权重</w:t>
      </w:r>
      <w:r>
        <w:rPr>
          <w:rFonts w:hint="eastAsia" w:ascii="Times New Roman" w:hAnsi="Times New Roman" w:eastAsia="仿宋_GB2312" w:cs="仿宋_GB2312"/>
          <w:color w:val="auto"/>
          <w:sz w:val="28"/>
          <w:szCs w:val="28"/>
          <w:lang w:val="en-US" w:eastAsia="zh-CN"/>
        </w:rPr>
        <w:t>26</w:t>
      </w:r>
      <w:r>
        <w:rPr>
          <w:rFonts w:hint="eastAsia" w:ascii="Times New Roman" w:hAnsi="Times New Roman" w:eastAsia="仿宋_GB2312" w:cs="仿宋_GB2312"/>
          <w:color w:val="auto"/>
          <w:sz w:val="28"/>
          <w:szCs w:val="28"/>
        </w:rPr>
        <w:t>分，分为社会效益、</w:t>
      </w:r>
      <w:r>
        <w:rPr>
          <w:rFonts w:hint="eastAsia" w:ascii="Times New Roman" w:hAnsi="Times New Roman" w:eastAsia="仿宋_GB2312" w:cs="仿宋_GB2312"/>
          <w:color w:val="auto"/>
          <w:sz w:val="28"/>
          <w:szCs w:val="28"/>
          <w:lang w:val="en-US" w:eastAsia="zh-CN"/>
        </w:rPr>
        <w:t>生态</w:t>
      </w:r>
      <w:r>
        <w:rPr>
          <w:rFonts w:hint="eastAsia" w:ascii="Times New Roman" w:hAnsi="Times New Roman" w:eastAsia="仿宋_GB2312" w:cs="仿宋_GB2312"/>
          <w:color w:val="auto"/>
          <w:sz w:val="28"/>
          <w:szCs w:val="28"/>
        </w:rPr>
        <w:t>效益、可持续影响</w:t>
      </w:r>
      <w:r>
        <w:rPr>
          <w:rFonts w:hint="eastAsia" w:ascii="Times New Roman" w:hAnsi="Times New Roman" w:eastAsia="仿宋_GB2312" w:cs="仿宋_GB2312"/>
          <w:color w:val="auto"/>
          <w:sz w:val="28"/>
          <w:szCs w:val="28"/>
          <w:lang w:val="en-US" w:eastAsia="zh-CN"/>
        </w:rPr>
        <w:t>和满意度四</w:t>
      </w:r>
      <w:r>
        <w:rPr>
          <w:rFonts w:hint="eastAsia" w:ascii="Times New Roman" w:hAnsi="Times New Roman" w:eastAsia="仿宋_GB2312" w:cs="仿宋_GB2312"/>
          <w:color w:val="auto"/>
          <w:sz w:val="28"/>
          <w:szCs w:val="28"/>
        </w:rPr>
        <w:t>个方面，用于展现项目实施效果。</w:t>
      </w:r>
    </w:p>
    <w:p>
      <w:pPr>
        <w:pStyle w:val="6"/>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76" w:name="_Toc512441868"/>
      <w:bookmarkStart w:id="77" w:name="_Toc17676"/>
      <w:bookmarkStart w:id="78" w:name="_Toc11245"/>
      <w:bookmarkStart w:id="79" w:name="_Toc31656"/>
      <w:bookmarkStart w:id="80" w:name="_Toc17890"/>
      <w:r>
        <w:rPr>
          <w:rFonts w:ascii="Times New Roman" w:hAnsi="Times New Roman" w:eastAsia="仿宋_GB2312" w:cs="Times New Roman"/>
          <w:color w:val="auto"/>
          <w:sz w:val="28"/>
          <w:szCs w:val="28"/>
        </w:rPr>
        <w:t>3.</w:t>
      </w:r>
      <w:r>
        <w:rPr>
          <w:rFonts w:hint="eastAsia" w:ascii="Times New Roman" w:hAnsi="Times New Roman" w:eastAsia="仿宋_GB2312" w:cs="仿宋_GB2312"/>
          <w:color w:val="auto"/>
          <w:sz w:val="28"/>
          <w:szCs w:val="28"/>
        </w:rPr>
        <w:t>评价方法</w:t>
      </w:r>
      <w:bookmarkEnd w:id="76"/>
      <w:bookmarkEnd w:id="77"/>
      <w:bookmarkEnd w:id="78"/>
      <w:bookmarkEnd w:id="79"/>
      <w:bookmarkEnd w:id="8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1</w:t>
      </w:r>
      <w:r>
        <w:rPr>
          <w:rFonts w:hint="eastAsia" w:ascii="Times New Roman" w:hAnsi="Times New Roman" w:eastAsia="仿宋_GB2312" w:cs="仿宋_GB2312"/>
          <w:color w:val="auto"/>
          <w:sz w:val="28"/>
          <w:szCs w:val="28"/>
        </w:rPr>
        <w:t>）主要采用因素分析法和数据对比法。因素分析法评价项目实施的整体情况是否符合实际需要，数据对比法则反映的是项目运行的持续性和质量的可控性。</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w:t>
      </w:r>
      <w:r>
        <w:rPr>
          <w:rFonts w:ascii="Times New Roman" w:hAnsi="Times New Roman" w:eastAsia="仿宋_GB2312" w:cs="Times New Roman"/>
          <w:color w:val="auto"/>
          <w:sz w:val="28"/>
          <w:szCs w:val="28"/>
        </w:rPr>
        <w:t>2</w:t>
      </w:r>
      <w:r>
        <w:rPr>
          <w:rFonts w:hint="eastAsia" w:ascii="Times New Roman" w:hAnsi="Times New Roman" w:eastAsia="仿宋_GB2312" w:cs="仿宋_GB2312"/>
          <w:color w:val="auto"/>
          <w:sz w:val="28"/>
          <w:szCs w:val="28"/>
        </w:rPr>
        <w:t>）本次绩效评价中对于</w:t>
      </w:r>
      <w:r>
        <w:rPr>
          <w:rFonts w:hint="eastAsia" w:ascii="Times New Roman" w:hAnsi="Times New Roman" w:eastAsia="仿宋_GB2312" w:cs="仿宋_GB2312"/>
          <w:color w:val="auto"/>
          <w:sz w:val="28"/>
          <w:szCs w:val="28"/>
          <w:lang w:val="en-US" w:eastAsia="zh-CN"/>
        </w:rPr>
        <w:t>教育系统师资培训费项目的不同实施主体，</w:t>
      </w:r>
      <w:r>
        <w:rPr>
          <w:rFonts w:hint="eastAsia" w:ascii="Times New Roman" w:hAnsi="Times New Roman" w:eastAsia="仿宋_GB2312" w:cs="仿宋_GB2312"/>
          <w:color w:val="auto"/>
          <w:sz w:val="28"/>
          <w:szCs w:val="28"/>
        </w:rPr>
        <w:t>采取随机</w:t>
      </w:r>
      <w:r>
        <w:rPr>
          <w:rFonts w:hint="eastAsia" w:ascii="Times New Roman" w:hAnsi="Times New Roman" w:eastAsia="仿宋_GB2312" w:cs="仿宋_GB2312"/>
          <w:color w:val="auto"/>
          <w:sz w:val="28"/>
          <w:szCs w:val="28"/>
          <w:lang w:eastAsia="zh-CN"/>
        </w:rPr>
        <w:t>面访、电访</w:t>
      </w:r>
      <w:r>
        <w:rPr>
          <w:rFonts w:hint="eastAsia" w:ascii="Times New Roman" w:hAnsi="Times New Roman" w:eastAsia="仿宋_GB2312" w:cs="仿宋_GB2312"/>
          <w:color w:val="auto"/>
          <w:sz w:val="28"/>
          <w:szCs w:val="28"/>
        </w:rPr>
        <w:t>的</w:t>
      </w:r>
      <w:r>
        <w:rPr>
          <w:rFonts w:hint="eastAsia" w:ascii="Times New Roman" w:hAnsi="Times New Roman" w:eastAsia="仿宋_GB2312" w:cs="仿宋_GB2312"/>
          <w:color w:val="auto"/>
          <w:sz w:val="28"/>
          <w:szCs w:val="28"/>
          <w:lang w:eastAsia="zh-CN"/>
        </w:rPr>
        <w:t>方式完成受益对象的</w:t>
      </w:r>
      <w:r>
        <w:rPr>
          <w:rFonts w:hint="eastAsia" w:ascii="Times New Roman" w:hAnsi="Times New Roman" w:eastAsia="仿宋_GB2312" w:cs="仿宋_GB2312"/>
          <w:color w:val="auto"/>
          <w:sz w:val="28"/>
          <w:szCs w:val="28"/>
        </w:rPr>
        <w:t>满意度问卷调查。</w:t>
      </w:r>
    </w:p>
    <w:p>
      <w:pPr>
        <w:pStyle w:val="6"/>
        <w:pageBreakBefore w:val="0"/>
        <w:widowControl w:val="0"/>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28"/>
          <w:szCs w:val="28"/>
        </w:rPr>
      </w:pPr>
      <w:bookmarkStart w:id="81" w:name="_Toc31037"/>
      <w:bookmarkStart w:id="82" w:name="_Toc2274"/>
      <w:bookmarkStart w:id="83" w:name="_Toc15374"/>
      <w:r>
        <w:rPr>
          <w:rFonts w:ascii="Times New Roman" w:hAnsi="Times New Roman" w:eastAsia="仿宋_GB2312" w:cs="Times New Roman"/>
          <w:color w:val="auto"/>
          <w:sz w:val="28"/>
          <w:szCs w:val="28"/>
        </w:rPr>
        <w:t>4.</w:t>
      </w:r>
      <w:r>
        <w:rPr>
          <w:rFonts w:hint="eastAsia" w:ascii="Times New Roman" w:hAnsi="Times New Roman" w:eastAsia="仿宋_GB2312" w:cs="仿宋_GB2312"/>
          <w:color w:val="auto"/>
          <w:sz w:val="28"/>
          <w:szCs w:val="28"/>
        </w:rPr>
        <w:t>评价标准</w:t>
      </w:r>
      <w:bookmarkEnd w:id="81"/>
      <w:bookmarkEnd w:id="82"/>
      <w:bookmarkEnd w:id="83"/>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bookmarkStart w:id="84" w:name="_Toc512441870"/>
      <w:bookmarkStart w:id="85" w:name="_Toc26772"/>
      <w:r>
        <w:rPr>
          <w:rFonts w:hint="eastAsia" w:ascii="Times New Roman" w:hAnsi="Times New Roman" w:eastAsia="仿宋_GB2312" w:cs="Times New Roman"/>
          <w:b w:val="0"/>
          <w:color w:val="auto"/>
          <w:kern w:val="2"/>
          <w:sz w:val="28"/>
          <w:szCs w:val="28"/>
          <w:highlight w:val="none"/>
          <w:lang w:val="en-US" w:eastAsia="zh-CN" w:bidi="ar-SA"/>
        </w:rPr>
        <w:t>绩效评价标准是财政支出绩效目标完成程度的衡量尺度。通过评价标准判断评价指标的合理与重要性程度，作为评价工作的基本准绳和标尺，决定了评价目标的实现与否以及评价结果的准确与否，并作为评价计分的依据。绩效指标评价标准主要有：</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（1）计划标准</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以预先制定的规划、计划、目标、预算或定额等数据作为绩效评价标准。计划值作为评价指标的预计完成值，旨在通过与实际完成值进行比对，通过测算计划值完成比例，达成绩效评价目的。</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（2）行业标准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参照国家公布的相关财政经费的相关指标数据为基准数据，充分挖掘数据中蕴含的信息，从而制定相适应的行业评价标准。行业标准的充分应用需要充足的样本数据库作支撑，具备一定的权威性、客观性与真实性，便于财政项目支出绩效评价情况的纵向和横向的分析与对比。</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（3）历史标准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本项目为延续性项目，以项目历史数据作为样本数据，采用历史数据统计分析，建立系统动力学模型及决策模拟系统，测算出各类指标历史均值。</w:t>
      </w:r>
    </w:p>
    <w:p>
      <w:pPr>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（4）经验标准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Times New Roman"/>
          <w:b w:val="0"/>
          <w:color w:val="auto"/>
          <w:kern w:val="2"/>
          <w:sz w:val="28"/>
          <w:szCs w:val="28"/>
          <w:highlight w:val="none"/>
          <w:lang w:val="en-US" w:eastAsia="zh-CN" w:bidi="ar-SA"/>
        </w:rPr>
      </w:pPr>
      <w:r>
        <w:rPr>
          <w:rFonts w:hint="eastAsia" w:ascii="Times New Roman" w:hAnsi="Times New Roman" w:eastAsia="仿宋_GB2312" w:cs="Times New Roman"/>
          <w:b w:val="0"/>
          <w:color w:val="auto"/>
          <w:kern w:val="2"/>
          <w:sz w:val="28"/>
          <w:szCs w:val="28"/>
          <w:highlight w:val="none"/>
          <w:lang w:val="en-US" w:eastAsia="zh-CN" w:bidi="ar-SA"/>
        </w:rPr>
        <w:t>根据长期的财政经济活动管理实践，由在该领域中具有丰富经验的专家学者，经过其严密分析与研究，确定相关指标标准。该项标准与行业标准存在优先选择的情况，即行业标准权威性不足或缺乏同行业标准时，采用经验标准。</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楷体_GB2312" w:cs="Times New Roman"/>
          <w:color w:val="auto"/>
        </w:rPr>
      </w:pPr>
      <w:bookmarkStart w:id="86" w:name="_Toc23180"/>
      <w:r>
        <w:rPr>
          <w:rFonts w:hint="eastAsia" w:ascii="Times New Roman" w:hAnsi="Times New Roman" w:eastAsia="楷体_GB2312" w:cs="楷体_GB2312"/>
          <w:color w:val="auto"/>
        </w:rPr>
        <w:t>（三）绩效评价工作过程</w:t>
      </w:r>
      <w:bookmarkEnd w:id="84"/>
      <w:bookmarkEnd w:id="85"/>
      <w:bookmarkEnd w:id="86"/>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rPr>
      </w:pPr>
      <w:bookmarkStart w:id="87" w:name="_Toc512441872"/>
      <w:r>
        <w:rPr>
          <w:rFonts w:hint="eastAsia" w:ascii="Times New Roman" w:hAnsi="Times New Roman" w:eastAsia="仿宋_GB2312" w:cs="仿宋_GB2312"/>
          <w:color w:val="000000"/>
          <w:sz w:val="28"/>
          <w:szCs w:val="28"/>
        </w:rPr>
        <w:t>实施本次绩效评价，首先根据项目预先设立的绩效目标、项目管理办法、专项资金管理办法、项目实施方案等资料，选择合适的评价指标和标准，同时明确本次绩效评价的目的、方法、评价的原则、评价标准、时间安排等，形成绩效评价工作方案。提交部门审核，并根据审核意见进一步修改和完善绩效评价工作方案。然后运用</w:t>
      </w:r>
      <w:r>
        <w:rPr>
          <w:rFonts w:hint="eastAsia" w:ascii="Times New Roman" w:hAnsi="Times New Roman" w:eastAsia="仿宋_GB2312" w:cs="仿宋_GB2312"/>
          <w:color w:val="000000"/>
          <w:sz w:val="28"/>
          <w:szCs w:val="28"/>
          <w:highlight w:val="none"/>
        </w:rPr>
        <w:t>科学的评价</w:t>
      </w:r>
      <w:r>
        <w:rPr>
          <w:rFonts w:hint="eastAsia" w:ascii="Times New Roman" w:hAnsi="Times New Roman" w:eastAsia="仿宋_GB2312" w:cs="仿宋_GB2312"/>
          <w:color w:val="000000"/>
          <w:sz w:val="28"/>
          <w:szCs w:val="28"/>
        </w:rPr>
        <w:t>方法，对资金使用全过程及其支出的经济性、效率性和效益性进行客观公正的综合评价，以衡量预算绩效管理培训项目资金的使用绩效，同时分析其是否达到预期目标，并以书面形式分析绩效优劣的原因、造成的不良后果及影响，提出改进的意见和建议，最后撰写绩效评价报告。</w:t>
      </w:r>
    </w:p>
    <w:p>
      <w:pPr>
        <w:pStyle w:val="6"/>
        <w:keepNext/>
        <w:keepLines/>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rPr>
      </w:pPr>
      <w:bookmarkStart w:id="88" w:name="_Toc20599"/>
      <w:bookmarkStart w:id="89" w:name="_Toc22419"/>
      <w:bookmarkStart w:id="90" w:name="_Toc13346"/>
      <w:bookmarkStart w:id="91" w:name="_Toc23230"/>
      <w:bookmarkStart w:id="92" w:name="_Toc6213"/>
      <w:bookmarkStart w:id="93" w:name="_Toc32573"/>
      <w:bookmarkStart w:id="94" w:name="_Toc7263"/>
      <w:r>
        <w:rPr>
          <w:rFonts w:hint="eastAsia" w:ascii="Times New Roman" w:hAnsi="Times New Roman" w:eastAsia="仿宋_GB2312"/>
        </w:rPr>
        <w:t>1.绩效评价的业务流程</w:t>
      </w:r>
      <w:bookmarkEnd w:id="88"/>
      <w:bookmarkEnd w:id="89"/>
      <w:bookmarkEnd w:id="90"/>
      <w:bookmarkEnd w:id="91"/>
      <w:bookmarkEnd w:id="92"/>
      <w:bookmarkEnd w:id="93"/>
      <w:bookmarkEnd w:id="94"/>
    </w:p>
    <w:p>
      <w:pPr>
        <w:widowControl/>
        <w:adjustRightInd w:val="0"/>
        <w:snapToGrid w:val="0"/>
        <w:spacing w:line="600" w:lineRule="exact"/>
        <w:ind w:firstLine="562" w:firstLineChars="200"/>
        <w:rPr>
          <w:rFonts w:hint="eastAsia" w:ascii="Times New Roman" w:hAnsi="Times New Roman" w:eastAsia="仿宋_GB2312" w:cs="仿宋_GB2312"/>
          <w:b/>
          <w:bCs/>
          <w:color w:val="000000"/>
          <w:sz w:val="28"/>
          <w:szCs w:val="28"/>
        </w:rPr>
      </w:pPr>
      <w:r>
        <w:rPr>
          <w:rFonts w:hint="eastAsia" w:ascii="Times New Roman" w:hAnsi="Times New Roman" w:eastAsia="仿宋_GB2312" w:cs="仿宋_GB2312"/>
          <w:b/>
          <w:bCs/>
          <w:color w:val="000000"/>
          <w:sz w:val="28"/>
          <w:szCs w:val="28"/>
        </w:rPr>
        <w:t>（1）评价前期准备</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了解评价对象情况：根据相关文件的解读，了解预算绩效管理项目情况，确定本次绩效评价类型、适用的原理框架、评价重点领域及涉及到的相关方。</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选择绩效评价</w:t>
      </w:r>
      <w:r>
        <w:rPr>
          <w:rFonts w:hint="eastAsia" w:ascii="Times New Roman" w:hAnsi="Times New Roman" w:eastAsia="仿宋_GB2312" w:cs="仿宋_GB2312"/>
          <w:color w:val="000000"/>
          <w:sz w:val="28"/>
          <w:szCs w:val="28"/>
          <w:highlight w:val="none"/>
          <w:lang w:val="en-US" w:eastAsia="zh-CN"/>
        </w:rPr>
        <w:t>工作组</w:t>
      </w:r>
      <w:r>
        <w:rPr>
          <w:rFonts w:hint="eastAsia" w:ascii="Times New Roman" w:hAnsi="Times New Roman" w:eastAsia="仿宋_GB2312" w:cs="仿宋_GB2312"/>
          <w:color w:val="000000"/>
          <w:sz w:val="28"/>
          <w:szCs w:val="28"/>
          <w:highlight w:val="none"/>
        </w:rPr>
        <w:t>：基于对项目的情况了解，选择合适的绩效</w:t>
      </w:r>
      <w:r>
        <w:rPr>
          <w:rFonts w:hint="eastAsia" w:ascii="Times New Roman" w:hAnsi="Times New Roman" w:eastAsia="仿宋_GB2312" w:cs="仿宋_GB2312"/>
          <w:color w:val="000000"/>
          <w:sz w:val="28"/>
          <w:szCs w:val="28"/>
          <w:highlight w:val="none"/>
          <w:lang w:val="en-US" w:eastAsia="zh-CN"/>
        </w:rPr>
        <w:t>评价人员，组建绩效评价工作组</w:t>
      </w:r>
      <w:r>
        <w:rPr>
          <w:rFonts w:hint="eastAsia" w:ascii="Times New Roman" w:hAnsi="Times New Roman" w:eastAsia="仿宋_GB2312" w:cs="仿宋_GB2312"/>
          <w:color w:val="000000"/>
          <w:sz w:val="28"/>
          <w:szCs w:val="28"/>
          <w:highlight w:val="none"/>
          <w:lang w:eastAsia="zh-CN"/>
        </w:rPr>
        <w:t>；</w:t>
      </w:r>
      <w:r>
        <w:rPr>
          <w:rFonts w:hint="eastAsia" w:ascii="Times New Roman" w:hAnsi="Times New Roman" w:eastAsia="仿宋_GB2312" w:cs="仿宋_GB2312"/>
          <w:color w:val="000000"/>
          <w:sz w:val="28"/>
          <w:szCs w:val="28"/>
          <w:highlight w:val="none"/>
          <w:lang w:val="en-US" w:eastAsia="zh-CN"/>
        </w:rPr>
        <w:t>根据</w:t>
      </w:r>
      <w:r>
        <w:rPr>
          <w:rFonts w:hint="eastAsia" w:ascii="Times New Roman" w:hAnsi="Times New Roman" w:eastAsia="仿宋_GB2312" w:cs="仿宋_GB2312"/>
          <w:color w:val="000000"/>
          <w:sz w:val="28"/>
          <w:szCs w:val="28"/>
          <w:highlight w:val="none"/>
        </w:rPr>
        <w:t>绩效管理政策</w:t>
      </w:r>
      <w:r>
        <w:rPr>
          <w:rFonts w:hint="eastAsia" w:ascii="Times New Roman" w:hAnsi="Times New Roman" w:eastAsia="仿宋_GB2312" w:cs="仿宋_GB2312"/>
          <w:color w:val="000000"/>
          <w:sz w:val="28"/>
          <w:szCs w:val="28"/>
          <w:highlight w:val="none"/>
          <w:lang w:val="en-US" w:eastAsia="zh-CN"/>
        </w:rPr>
        <w:t>要求，开展</w:t>
      </w:r>
      <w:r>
        <w:rPr>
          <w:rFonts w:hint="eastAsia" w:ascii="Times New Roman" w:hAnsi="Times New Roman" w:eastAsia="仿宋_GB2312" w:cs="仿宋_GB2312"/>
          <w:color w:val="000000"/>
          <w:sz w:val="28"/>
          <w:szCs w:val="28"/>
          <w:highlight w:val="none"/>
        </w:rPr>
        <w:t>绩效评价</w:t>
      </w:r>
      <w:r>
        <w:rPr>
          <w:rFonts w:hint="eastAsia" w:ascii="Times New Roman" w:hAnsi="Times New Roman" w:eastAsia="仿宋_GB2312" w:cs="仿宋_GB2312"/>
          <w:color w:val="000000"/>
          <w:sz w:val="28"/>
          <w:szCs w:val="28"/>
          <w:highlight w:val="none"/>
          <w:lang w:val="en-US" w:eastAsia="zh-CN"/>
        </w:rPr>
        <w:t>工作</w:t>
      </w:r>
      <w:r>
        <w:rPr>
          <w:rFonts w:hint="eastAsia" w:ascii="Times New Roman" w:hAnsi="Times New Roman" w:eastAsia="仿宋_GB2312" w:cs="仿宋_GB2312"/>
          <w:color w:val="000000"/>
          <w:sz w:val="28"/>
          <w:szCs w:val="28"/>
          <w:highlight w:val="none"/>
        </w:rPr>
        <w:t>，并履行以下职责：</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①</w:t>
      </w:r>
      <w:r>
        <w:rPr>
          <w:rFonts w:hint="eastAsia" w:ascii="Times New Roman" w:hAnsi="Times New Roman" w:eastAsia="仿宋_GB2312" w:cs="仿宋_GB2312"/>
          <w:color w:val="000000"/>
          <w:sz w:val="28"/>
          <w:szCs w:val="28"/>
          <w:highlight w:val="none"/>
          <w:lang w:val="en-US" w:eastAsia="zh-CN"/>
        </w:rPr>
        <w:t>确定</w:t>
      </w:r>
      <w:r>
        <w:rPr>
          <w:rFonts w:hint="eastAsia" w:ascii="Times New Roman" w:hAnsi="Times New Roman" w:eastAsia="仿宋_GB2312" w:cs="仿宋_GB2312"/>
          <w:color w:val="000000"/>
          <w:sz w:val="28"/>
          <w:szCs w:val="28"/>
          <w:highlight w:val="none"/>
        </w:rPr>
        <w:t>评价任务；</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②为开展评价活动提供必要的支持，组织协调各项评价活动；</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③</w:t>
      </w:r>
      <w:r>
        <w:rPr>
          <w:rFonts w:hint="eastAsia" w:ascii="Times New Roman" w:hAnsi="Times New Roman" w:eastAsia="仿宋_GB2312" w:cs="仿宋_GB2312"/>
          <w:color w:val="000000"/>
          <w:sz w:val="28"/>
          <w:szCs w:val="28"/>
          <w:highlight w:val="none"/>
        </w:rPr>
        <w:t>监督评价活动；</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④</w:t>
      </w:r>
      <w:r>
        <w:rPr>
          <w:rFonts w:hint="eastAsia" w:ascii="Times New Roman" w:hAnsi="Times New Roman" w:eastAsia="仿宋_GB2312" w:cs="仿宋_GB2312"/>
          <w:color w:val="000000"/>
          <w:sz w:val="28"/>
          <w:szCs w:val="28"/>
          <w:highlight w:val="none"/>
        </w:rPr>
        <w:t>实施评价质量控制；</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⑤</w:t>
      </w:r>
      <w:r>
        <w:rPr>
          <w:rFonts w:hint="eastAsia" w:ascii="Times New Roman" w:hAnsi="Times New Roman" w:eastAsia="仿宋_GB2312" w:cs="仿宋_GB2312"/>
          <w:color w:val="000000"/>
          <w:sz w:val="28"/>
          <w:szCs w:val="28"/>
          <w:highlight w:val="none"/>
        </w:rPr>
        <w:t>对评价活动中出现的问题</w:t>
      </w:r>
      <w:r>
        <w:rPr>
          <w:rFonts w:hint="eastAsia" w:ascii="Times New Roman" w:hAnsi="Times New Roman" w:eastAsia="仿宋_GB2312" w:cs="仿宋_GB2312"/>
          <w:color w:val="000000"/>
          <w:sz w:val="28"/>
          <w:szCs w:val="28"/>
          <w:highlight w:val="none"/>
          <w:lang w:eastAsia="zh-CN"/>
        </w:rPr>
        <w:t>作出</w:t>
      </w:r>
      <w:r>
        <w:rPr>
          <w:rFonts w:hint="eastAsia" w:ascii="Times New Roman" w:hAnsi="Times New Roman" w:eastAsia="仿宋_GB2312" w:cs="仿宋_GB2312"/>
          <w:color w:val="000000"/>
          <w:sz w:val="28"/>
          <w:szCs w:val="28"/>
          <w:highlight w:val="none"/>
        </w:rPr>
        <w:t>及时回应；</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lang w:val="en-US" w:eastAsia="zh-CN"/>
        </w:rPr>
        <w:t>⑥</w:t>
      </w:r>
      <w:r>
        <w:rPr>
          <w:rFonts w:hint="eastAsia" w:ascii="Times New Roman" w:hAnsi="Times New Roman" w:eastAsia="仿宋_GB2312" w:cs="仿宋_GB2312"/>
          <w:color w:val="000000"/>
          <w:sz w:val="28"/>
          <w:szCs w:val="28"/>
          <w:highlight w:val="none"/>
        </w:rPr>
        <w:t>负责组织审查绩效评价报告初稿，并判断其是否符合要求，审定绩效评价报告。</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根据</w:t>
      </w:r>
      <w:r>
        <w:rPr>
          <w:rFonts w:hint="eastAsia" w:ascii="Times New Roman" w:hAnsi="Times New Roman" w:eastAsia="仿宋_GB2312" w:cs="仿宋_GB2312"/>
          <w:color w:val="000000"/>
          <w:sz w:val="28"/>
          <w:szCs w:val="28"/>
          <w:highlight w:val="none"/>
          <w:lang w:val="en-US" w:eastAsia="zh-CN"/>
        </w:rPr>
        <w:t>绩效评价组组长</w:t>
      </w:r>
      <w:r>
        <w:rPr>
          <w:rFonts w:hint="eastAsia" w:ascii="Times New Roman" w:hAnsi="Times New Roman" w:eastAsia="仿宋_GB2312" w:cs="仿宋_GB2312"/>
          <w:color w:val="000000"/>
          <w:sz w:val="28"/>
          <w:szCs w:val="28"/>
          <w:highlight w:val="none"/>
        </w:rPr>
        <w:t>安排，绩效评价组成员负责具体实施各项绩效评价工作，完成</w:t>
      </w:r>
      <w:r>
        <w:rPr>
          <w:rFonts w:hint="eastAsia" w:ascii="Times New Roman" w:hAnsi="Times New Roman" w:eastAsia="仿宋_GB2312" w:cs="仿宋_GB2312"/>
          <w:color w:val="000000"/>
          <w:sz w:val="28"/>
          <w:szCs w:val="28"/>
          <w:highlight w:val="none"/>
          <w:lang w:val="en-US" w:eastAsia="zh-CN"/>
        </w:rPr>
        <w:t>整体绩效评价工作</w:t>
      </w:r>
      <w:r>
        <w:rPr>
          <w:rFonts w:hint="eastAsia" w:ascii="Times New Roman" w:hAnsi="Times New Roman" w:eastAsia="仿宋_GB2312" w:cs="仿宋_GB2312"/>
          <w:color w:val="000000"/>
          <w:sz w:val="28"/>
          <w:szCs w:val="28"/>
          <w:highlight w:val="none"/>
        </w:rPr>
        <w:t>。</w:t>
      </w:r>
    </w:p>
    <w:p>
      <w:pPr>
        <w:widowControl/>
        <w:adjustRightInd w:val="0"/>
        <w:snapToGrid w:val="0"/>
        <w:spacing w:line="600" w:lineRule="exact"/>
        <w:ind w:firstLine="562" w:firstLineChars="200"/>
        <w:rPr>
          <w:rFonts w:hint="eastAsia" w:ascii="Times New Roman" w:hAnsi="Times New Roman" w:eastAsia="仿宋_GB2312" w:cs="仿宋_GB2312"/>
          <w:b/>
          <w:bCs/>
          <w:color w:val="000000"/>
          <w:sz w:val="28"/>
          <w:szCs w:val="28"/>
          <w:highlight w:val="none"/>
        </w:rPr>
      </w:pPr>
      <w:r>
        <w:rPr>
          <w:rFonts w:hint="eastAsia" w:ascii="Times New Roman" w:hAnsi="Times New Roman" w:eastAsia="仿宋_GB2312" w:cs="仿宋_GB2312"/>
          <w:b/>
          <w:bCs/>
          <w:color w:val="000000"/>
          <w:sz w:val="28"/>
          <w:szCs w:val="28"/>
          <w:highlight w:val="none"/>
        </w:rPr>
        <w:br w:type="page"/>
      </w:r>
      <w:r>
        <w:rPr>
          <w:rFonts w:hint="eastAsia" w:ascii="Times New Roman" w:hAnsi="Times New Roman" w:eastAsia="仿宋_GB2312" w:cs="仿宋_GB2312"/>
          <w:b/>
          <w:bCs/>
          <w:color w:val="000000"/>
          <w:sz w:val="28"/>
          <w:szCs w:val="28"/>
          <w:highlight w:val="none"/>
        </w:rPr>
        <w:t>（2）绩效评价实施</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评价证据的收集：绩效评价工作的科学合理开展建立在坚实的证据基础之上。绩效评价组决定从项目资金入手，安排小组成员到项目实施单位进行财务核查，一方面对专项资金支出合法性、合理性和合规性进行客观、公正的核查，另一方面通过对资金进行梳理汇总分类，掌握项目组织实施的情况。重点关注资金支出产生和效益。</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同时，组织对项目负责人及组织实施参与者进行深度访谈，以了解项目资金使用的整体情况，诸如覆盖人群、使用方式、组织形式、取得成果及存在问题等，为评价组调整工作重点提供信息支撑，也可对项目整体情况形成总体把握。</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然后，对项目组织实施资料进行核实，这一阶段主要是进行项目相关证据的收集，为后续分析及报告撰写做好铺垫。</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另外，对项目组织实施资料进行整理，了解项目实施受益群体范围，并进行问卷调查和组织座谈。</w:t>
      </w:r>
    </w:p>
    <w:p>
      <w:pPr>
        <w:widowControl/>
        <w:adjustRightInd w:val="0"/>
        <w:snapToGrid w:val="0"/>
        <w:spacing w:line="600" w:lineRule="exact"/>
        <w:ind w:firstLine="560" w:firstLineChars="200"/>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评价证据审核：对收集到的评价证据，通过核实基础数据的全面性、真实性以及统计口径的一致性等，增加评价证据的可置信程度。</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绩效分析与评级：运用既定的分析方法，根据收集整理的证据和设定的评分标准进行分析，对各项评价指标进行评分。通过加权计算出最终的评价分值，并相应确定绩效等级。</w:t>
      </w:r>
    </w:p>
    <w:p>
      <w:pPr>
        <w:keepNext w:val="0"/>
        <w:keepLines w:val="0"/>
        <w:pageBreakBefore w:val="0"/>
        <w:widowControl w:val="0"/>
        <w:kinsoku/>
        <w:wordWrap/>
        <w:overflowPunct/>
        <w:topLinePunct w:val="0"/>
        <w:autoSpaceDE/>
        <w:autoSpaceDN/>
        <w:bidi w:val="0"/>
        <w:adjustRightInd w:val="0"/>
        <w:snapToGrid w:val="0"/>
        <w:spacing w:line="600" w:lineRule="exact"/>
        <w:ind w:firstLine="560" w:firstLineChars="200"/>
        <w:textAlignment w:val="auto"/>
        <w:rPr>
          <w:rFonts w:hint="eastAsia" w:ascii="Times New Roman" w:hAnsi="Times New Roman" w:eastAsia="仿宋_GB2312" w:cs="仿宋_GB2312"/>
          <w:color w:val="000000"/>
          <w:sz w:val="28"/>
          <w:szCs w:val="28"/>
          <w:highlight w:val="none"/>
        </w:rPr>
      </w:pPr>
      <w:r>
        <w:rPr>
          <w:rFonts w:hint="eastAsia" w:ascii="Times New Roman" w:hAnsi="Times New Roman" w:eastAsia="仿宋_GB2312" w:cs="仿宋_GB2312"/>
          <w:color w:val="000000"/>
          <w:sz w:val="28"/>
          <w:szCs w:val="28"/>
          <w:highlight w:val="none"/>
        </w:rPr>
        <w:t>形成评价结论：评价结论按照既定要求，从各评价维度对相关细节问题进行核实并权衡。评价结论和说明绩效目标的实现程度，应用项目绩效指标完成情况，反映投入、产出与效果方面的成绩、经验与存在的问题，对评价指标目标值与实际值的差异情况、产生原因与预期后果等进行具体分析，对已实现的绩效目标总结相关经验与做法，对存在的问题分析影响项目绩效目标及资金预算使用的主要因素，并提出对应建设性意见以供被评价部门参考。</w:t>
      </w:r>
    </w:p>
    <w:p>
      <w:pPr>
        <w:pStyle w:val="6"/>
        <w:spacing w:line="600" w:lineRule="exact"/>
        <w:ind w:left="630" w:leftChars="300"/>
        <w:rPr>
          <w:rFonts w:hint="eastAsia" w:ascii="Times New Roman" w:hAnsi="Times New Roman" w:eastAsia="仿宋_GB2312"/>
          <w:highlight w:val="none"/>
        </w:rPr>
      </w:pPr>
      <w:bookmarkStart w:id="95" w:name="_Toc21116"/>
      <w:bookmarkStart w:id="96" w:name="_Toc12426"/>
      <w:bookmarkStart w:id="97" w:name="_Toc30491"/>
      <w:bookmarkStart w:id="98" w:name="_Toc1560"/>
      <w:bookmarkStart w:id="99" w:name="_Toc20179"/>
      <w:bookmarkStart w:id="100" w:name="_Toc4648"/>
      <w:bookmarkStart w:id="101" w:name="_Toc8238"/>
      <w:r>
        <w:rPr>
          <w:rFonts w:hint="eastAsia" w:ascii="Times New Roman" w:hAnsi="Times New Roman" w:eastAsia="仿宋_GB2312"/>
          <w:highlight w:val="none"/>
        </w:rPr>
        <w:t>2.形成绩效评价报告</w:t>
      </w:r>
      <w:bookmarkEnd w:id="95"/>
      <w:bookmarkEnd w:id="96"/>
      <w:bookmarkEnd w:id="97"/>
      <w:bookmarkEnd w:id="98"/>
      <w:bookmarkEnd w:id="99"/>
      <w:bookmarkEnd w:id="100"/>
      <w:bookmarkEnd w:id="101"/>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000000"/>
          <w:sz w:val="28"/>
          <w:szCs w:val="28"/>
          <w:highlight w:val="none"/>
        </w:rPr>
        <w:t>评价组根据前述绩效分析和评价结论，按照要求提炼撰写绩效报告，并在</w:t>
      </w:r>
      <w:r>
        <w:rPr>
          <w:rFonts w:hint="eastAsia" w:ascii="Times New Roman" w:hAnsi="Times New Roman" w:eastAsia="仿宋_GB2312" w:cs="仿宋_GB2312"/>
          <w:color w:val="000000"/>
          <w:sz w:val="28"/>
          <w:szCs w:val="28"/>
          <w:highlight w:val="none"/>
          <w:lang w:val="en-US" w:eastAsia="zh-CN"/>
        </w:rPr>
        <w:t>评价</w:t>
      </w:r>
      <w:r>
        <w:rPr>
          <w:rFonts w:hint="eastAsia" w:ascii="Times New Roman" w:hAnsi="Times New Roman" w:eastAsia="仿宋_GB2312" w:cs="仿宋_GB2312"/>
          <w:color w:val="000000"/>
          <w:sz w:val="28"/>
          <w:szCs w:val="28"/>
          <w:highlight w:val="none"/>
        </w:rPr>
        <w:t>组内部进行审核，主要关注报告格式是否规范，内容是否完整；绩效数据是否真实、可靠，是否进行了必要的核实工作；报告逻辑是否清晰，分析问题是否透彻</w:t>
      </w:r>
      <w:r>
        <w:rPr>
          <w:rFonts w:hint="eastAsia" w:ascii="Times New Roman" w:hAnsi="Times New Roman" w:eastAsia="仿宋_GB2312" w:cs="仿宋_GB2312"/>
          <w:color w:val="000000"/>
          <w:sz w:val="28"/>
          <w:szCs w:val="28"/>
          <w:highlight w:val="none"/>
          <w:lang w:eastAsia="zh-CN"/>
        </w:rPr>
        <w:t>；</w:t>
      </w:r>
      <w:r>
        <w:rPr>
          <w:rFonts w:hint="eastAsia" w:ascii="Times New Roman" w:hAnsi="Times New Roman" w:eastAsia="仿宋_GB2312" w:cs="仿宋_GB2312"/>
          <w:color w:val="000000"/>
          <w:sz w:val="28"/>
          <w:szCs w:val="28"/>
          <w:highlight w:val="none"/>
          <w:lang w:val="en-US" w:eastAsia="zh-CN"/>
        </w:rPr>
        <w:t>报</w:t>
      </w:r>
      <w:r>
        <w:rPr>
          <w:rFonts w:hint="eastAsia" w:ascii="Times New Roman" w:hAnsi="Times New Roman" w:eastAsia="仿宋_GB2312" w:cs="仿宋_GB2312"/>
          <w:color w:val="000000"/>
          <w:sz w:val="28"/>
          <w:szCs w:val="28"/>
          <w:highlight w:val="none"/>
        </w:rPr>
        <w:t>告结论是否全面、准确；经验、教训的总结是否深刻，建议是否可行等。</w:t>
      </w:r>
      <w:r>
        <w:rPr>
          <w:rFonts w:hint="eastAsia" w:ascii="Times New Roman" w:hAnsi="Times New Roman" w:eastAsia="仿宋_GB2312" w:cs="仿宋_GB2312"/>
          <w:color w:val="000000"/>
          <w:sz w:val="28"/>
          <w:szCs w:val="28"/>
          <w:highlight w:val="none"/>
          <w:lang w:val="en-US" w:eastAsia="zh-CN"/>
        </w:rPr>
        <w:t>在评价组内部审核的基础上，</w:t>
      </w:r>
      <w:r>
        <w:rPr>
          <w:rFonts w:hint="eastAsia" w:ascii="Times New Roman" w:hAnsi="Times New Roman" w:eastAsia="仿宋_GB2312" w:cs="仿宋_GB2312"/>
          <w:color w:val="000000"/>
          <w:sz w:val="28"/>
          <w:szCs w:val="28"/>
          <w:highlight w:val="none"/>
        </w:rPr>
        <w:t>修改并完善形成最终评价报告</w:t>
      </w:r>
      <w:r>
        <w:rPr>
          <w:rFonts w:hint="eastAsia" w:ascii="Times New Roman" w:hAnsi="Times New Roman" w:eastAsia="仿宋_GB2312" w:cs="仿宋_GB2312"/>
          <w:color w:val="000000"/>
          <w:sz w:val="28"/>
          <w:szCs w:val="28"/>
        </w:rPr>
        <w:t>。</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102" w:name="_Toc14646"/>
      <w:r>
        <w:rPr>
          <w:rFonts w:hint="eastAsia" w:cs="黑体"/>
          <w:color w:val="auto"/>
        </w:rPr>
        <w:t>三、综合评价情况及评价结论</w:t>
      </w:r>
      <w:bookmarkEnd w:id="102"/>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楷体_GB2312" w:cs="楷体_GB2312"/>
          <w:b/>
          <w:bCs/>
          <w:color w:val="auto"/>
          <w:sz w:val="32"/>
          <w:szCs w:val="32"/>
        </w:rPr>
        <w:t>（一）评分结果：</w:t>
      </w:r>
      <w:r>
        <w:rPr>
          <w:rFonts w:hint="eastAsia" w:ascii="Times New Roman" w:hAnsi="Times New Roman" w:eastAsia="仿宋_GB2312" w:cs="仿宋_GB2312"/>
          <w:color w:val="auto"/>
          <w:sz w:val="28"/>
          <w:szCs w:val="28"/>
        </w:rPr>
        <w:t>评价组围绕绩效评价指标体系，通过数据采集分析，财务核查、实地核查及深度访</w:t>
      </w:r>
      <w:r>
        <w:rPr>
          <w:rFonts w:hint="eastAsia" w:ascii="Times New Roman" w:hAnsi="Times New Roman" w:eastAsia="仿宋_GB2312" w:cs="仿宋_GB2312"/>
          <w:color w:val="auto"/>
          <w:sz w:val="28"/>
          <w:szCs w:val="28"/>
          <w:highlight w:val="none"/>
        </w:rPr>
        <w:t>谈等方式，对该项目绩效进行了客观、公正、合理、有效的评价，最终评价结果为</w:t>
      </w:r>
      <w:r>
        <w:rPr>
          <w:rFonts w:hint="eastAsia" w:ascii="Times New Roman" w:hAnsi="Times New Roman" w:eastAsia="仿宋_GB2312" w:cs="Times New Roman"/>
          <w:b/>
          <w:bCs/>
          <w:color w:val="auto"/>
          <w:sz w:val="28"/>
          <w:szCs w:val="28"/>
          <w:highlight w:val="none"/>
          <w:lang w:val="en-US" w:eastAsia="zh-CN"/>
        </w:rPr>
        <w:t>93.86</w:t>
      </w:r>
      <w:r>
        <w:rPr>
          <w:rFonts w:hint="eastAsia" w:ascii="Times New Roman" w:hAnsi="Times New Roman" w:eastAsia="仿宋_GB2312" w:cs="仿宋_GB2312"/>
          <w:color w:val="auto"/>
          <w:sz w:val="28"/>
          <w:szCs w:val="28"/>
          <w:highlight w:val="none"/>
        </w:rPr>
        <w:t>分</w:t>
      </w:r>
      <w:r>
        <w:rPr>
          <w:rFonts w:hint="eastAsia" w:ascii="Times New Roman" w:hAnsi="Times New Roman" w:eastAsia="仿宋_GB2312" w:cs="仿宋_GB2312"/>
          <w:color w:val="auto"/>
          <w:sz w:val="28"/>
          <w:szCs w:val="28"/>
        </w:rPr>
        <w:t>，依据财政绩效评价等级划分，本项目绩效评价等级为“</w:t>
      </w:r>
      <w:r>
        <w:rPr>
          <w:rFonts w:hint="eastAsia" w:ascii="Times New Roman" w:hAnsi="Times New Roman" w:eastAsia="仿宋_GB2312" w:cs="仿宋_GB2312"/>
          <w:b/>
          <w:bCs/>
          <w:color w:val="auto"/>
          <w:sz w:val="28"/>
          <w:szCs w:val="28"/>
          <w:lang w:val="en-US" w:eastAsia="zh-CN"/>
        </w:rPr>
        <w:t>优</w:t>
      </w:r>
      <w:r>
        <w:rPr>
          <w:rFonts w:hint="eastAsia" w:ascii="Times New Roman" w:hAnsi="Times New Roman" w:eastAsia="仿宋_GB2312" w:cs="仿宋_GB2312"/>
          <w:color w:val="auto"/>
          <w:sz w:val="28"/>
          <w:szCs w:val="28"/>
        </w:rPr>
        <w:t>”。</w:t>
      </w:r>
    </w:p>
    <w:p>
      <w:pPr>
        <w:keepNext w:val="0"/>
        <w:keepLines w:val="0"/>
        <w:pageBreakBefore w:val="0"/>
        <w:widowControl w:val="0"/>
        <w:tabs>
          <w:tab w:val="left" w:pos="312"/>
        </w:tabs>
        <w:kinsoku/>
        <w:wordWrap/>
        <w:overflowPunct/>
        <w:topLinePunct w:val="0"/>
        <w:autoSpaceDE/>
        <w:autoSpaceDN/>
        <w:bidi w:val="0"/>
        <w:adjustRightInd/>
        <w:snapToGrid/>
        <w:spacing w:line="600" w:lineRule="exact"/>
        <w:jc w:val="center"/>
        <w:textAlignment w:val="auto"/>
        <w:rPr>
          <w:rFonts w:ascii="Times New Roman" w:hAnsi="Times New Roman" w:eastAsia="仿宋"/>
          <w:b/>
          <w:bCs w:val="0"/>
          <w:color w:val="auto"/>
          <w:sz w:val="32"/>
          <w:szCs w:val="32"/>
        </w:rPr>
      </w:pPr>
      <w:r>
        <w:rPr>
          <w:rFonts w:hint="eastAsia" w:ascii="Times New Roman" w:hAnsi="Times New Roman" w:eastAsia="仿宋_GB2312" w:cs="仿宋"/>
          <w:b/>
          <w:bCs w:val="0"/>
          <w:color w:val="auto"/>
          <w:kern w:val="0"/>
          <w:sz w:val="28"/>
          <w:szCs w:val="24"/>
        </w:rPr>
        <w:t>表</w:t>
      </w:r>
      <w:r>
        <w:rPr>
          <w:rFonts w:hint="eastAsia" w:ascii="Times New Roman" w:hAnsi="Times New Roman" w:eastAsia="仿宋_GB2312" w:cs="仿宋"/>
          <w:b/>
          <w:bCs w:val="0"/>
          <w:color w:val="auto"/>
          <w:kern w:val="0"/>
          <w:sz w:val="28"/>
          <w:szCs w:val="24"/>
          <w:lang w:val="en-US" w:eastAsia="zh-CN"/>
        </w:rPr>
        <w:t>1</w:t>
      </w:r>
      <w:r>
        <w:rPr>
          <w:rFonts w:hint="eastAsia" w:ascii="Times New Roman" w:hAnsi="Times New Roman" w:eastAsia="仿宋_GB2312" w:cs="仿宋"/>
          <w:b/>
          <w:bCs w:val="0"/>
          <w:color w:val="auto"/>
          <w:kern w:val="0"/>
          <w:sz w:val="28"/>
          <w:szCs w:val="24"/>
        </w:rPr>
        <w:t>：</w:t>
      </w:r>
      <w:r>
        <w:rPr>
          <w:rFonts w:hint="eastAsia" w:ascii="Times New Roman" w:hAnsi="Times New Roman" w:eastAsia="仿宋_GB2312" w:cs="仿宋"/>
          <w:b/>
          <w:bCs w:val="0"/>
          <w:color w:val="auto"/>
          <w:kern w:val="0"/>
          <w:sz w:val="28"/>
          <w:szCs w:val="24"/>
          <w:lang w:val="en-US" w:eastAsia="zh-CN"/>
        </w:rPr>
        <w:t>教育系统师资培训费项目</w:t>
      </w:r>
      <w:r>
        <w:rPr>
          <w:rFonts w:hint="eastAsia" w:ascii="Times New Roman" w:hAnsi="Times New Roman" w:eastAsia="仿宋_GB2312" w:cs="仿宋"/>
          <w:b/>
          <w:bCs w:val="0"/>
          <w:color w:val="auto"/>
          <w:kern w:val="0"/>
          <w:sz w:val="28"/>
          <w:szCs w:val="24"/>
        </w:rPr>
        <w:t>得分汇总表</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803"/>
        <w:gridCol w:w="1616"/>
        <w:gridCol w:w="1702"/>
        <w:gridCol w:w="1833"/>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rPr>
        <w:tc>
          <w:tcPr>
            <w:tcW w:w="1045"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决策</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ascii="Times New Roman" w:hAnsi="Times New Roman" w:eastAsia="仿宋_GB2312" w:cs="仿宋_GB2312"/>
                <w:b/>
                <w:bCs/>
                <w:color w:val="FFFFFF"/>
                <w:kern w:val="0"/>
                <w:sz w:val="28"/>
                <w:szCs w:val="28"/>
                <w:lang w:val="en-US" w:eastAsia="zh-CN"/>
              </w:rPr>
              <w:t>20</w:t>
            </w:r>
            <w:r>
              <w:rPr>
                <w:rFonts w:hint="eastAsia" w:ascii="Times New Roman" w:hAnsi="Times New Roman" w:eastAsia="仿宋_GB2312" w:cs="仿宋_GB2312"/>
                <w:b/>
                <w:bCs/>
                <w:color w:val="FFFFFF"/>
                <w:kern w:val="0"/>
                <w:sz w:val="28"/>
                <w:szCs w:val="28"/>
              </w:rPr>
              <w:t>分）</w:t>
            </w:r>
          </w:p>
        </w:tc>
        <w:tc>
          <w:tcPr>
            <w:tcW w:w="936"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过程</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ascii="Times New Roman" w:hAnsi="Times New Roman" w:eastAsia="仿宋_GB2312" w:cs="仿宋_GB2312"/>
                <w:b/>
                <w:bCs/>
                <w:color w:val="FFFFFF"/>
                <w:kern w:val="0"/>
                <w:sz w:val="28"/>
                <w:szCs w:val="28"/>
                <w:lang w:val="en-US" w:eastAsia="zh-CN"/>
              </w:rPr>
              <w:t>20</w:t>
            </w:r>
            <w:r>
              <w:rPr>
                <w:rFonts w:hint="eastAsia" w:ascii="Times New Roman" w:hAnsi="Times New Roman" w:eastAsia="仿宋_GB2312" w:cs="仿宋_GB2312"/>
                <w:b/>
                <w:bCs/>
                <w:color w:val="FFFFFF"/>
                <w:kern w:val="0"/>
                <w:sz w:val="28"/>
                <w:szCs w:val="28"/>
              </w:rPr>
              <w:t>分）</w:t>
            </w:r>
          </w:p>
        </w:tc>
        <w:tc>
          <w:tcPr>
            <w:tcW w:w="986"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产出</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ascii="Times New Roman" w:hAnsi="Times New Roman" w:eastAsia="仿宋_GB2312" w:cs="仿宋_GB2312"/>
                <w:b/>
                <w:bCs/>
                <w:color w:val="FFFFFF"/>
                <w:kern w:val="0"/>
                <w:sz w:val="28"/>
                <w:szCs w:val="28"/>
                <w:lang w:val="en-US" w:eastAsia="zh-CN"/>
              </w:rPr>
              <w:t>34</w:t>
            </w:r>
            <w:r>
              <w:rPr>
                <w:rFonts w:hint="eastAsia" w:ascii="Times New Roman" w:hAnsi="Times New Roman" w:eastAsia="仿宋_GB2312" w:cs="仿宋_GB2312"/>
                <w:b/>
                <w:bCs/>
                <w:color w:val="FFFFFF"/>
                <w:kern w:val="0"/>
                <w:sz w:val="28"/>
                <w:szCs w:val="28"/>
              </w:rPr>
              <w:t>分）</w:t>
            </w:r>
          </w:p>
        </w:tc>
        <w:tc>
          <w:tcPr>
            <w:tcW w:w="1062"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0"/>
                <w:sz w:val="28"/>
                <w:szCs w:val="28"/>
                <w:lang w:eastAsia="zh-CN"/>
              </w:rPr>
            </w:pPr>
            <w:r>
              <w:rPr>
                <w:rFonts w:hint="eastAsia" w:ascii="Times New Roman" w:hAnsi="Times New Roman" w:eastAsia="仿宋_GB2312" w:cs="仿宋_GB2312"/>
                <w:b/>
                <w:bCs/>
                <w:color w:val="FFFFFF"/>
                <w:kern w:val="0"/>
                <w:sz w:val="28"/>
                <w:szCs w:val="28"/>
              </w:rPr>
              <w:t>项目</w:t>
            </w:r>
            <w:r>
              <w:rPr>
                <w:rFonts w:hint="eastAsia" w:ascii="Times New Roman" w:hAnsi="Times New Roman" w:eastAsia="仿宋_GB2312" w:cs="仿宋_GB2312"/>
                <w:b/>
                <w:bCs/>
                <w:color w:val="FFFFFF"/>
                <w:kern w:val="0"/>
                <w:sz w:val="28"/>
                <w:szCs w:val="28"/>
                <w:lang w:val="en-US" w:eastAsia="zh-CN"/>
              </w:rPr>
              <w:t>效益</w:t>
            </w:r>
          </w:p>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ascii="Times New Roman" w:hAnsi="Times New Roman" w:eastAsia="仿宋_GB2312" w:cs="仿宋_GB2312"/>
                <w:b/>
                <w:bCs/>
                <w:color w:val="FFFFFF"/>
                <w:sz w:val="28"/>
                <w:szCs w:val="28"/>
              </w:rPr>
            </w:pPr>
            <w:r>
              <w:rPr>
                <w:rFonts w:hint="eastAsia" w:ascii="Times New Roman" w:hAnsi="Times New Roman" w:eastAsia="仿宋_GB2312" w:cs="仿宋_GB2312"/>
                <w:b/>
                <w:bCs/>
                <w:color w:val="FFFFFF"/>
                <w:kern w:val="0"/>
                <w:sz w:val="28"/>
                <w:szCs w:val="28"/>
              </w:rPr>
              <w:t>（</w:t>
            </w:r>
            <w:r>
              <w:rPr>
                <w:rFonts w:hint="eastAsia" w:ascii="Times New Roman" w:hAnsi="Times New Roman" w:eastAsia="仿宋_GB2312" w:cs="仿宋_GB2312"/>
                <w:b/>
                <w:bCs/>
                <w:color w:val="FFFFFF"/>
                <w:kern w:val="0"/>
                <w:sz w:val="28"/>
                <w:szCs w:val="28"/>
                <w:lang w:val="en-US" w:eastAsia="zh-CN"/>
              </w:rPr>
              <w:t>26</w:t>
            </w:r>
            <w:r>
              <w:rPr>
                <w:rFonts w:hint="eastAsia" w:ascii="Times New Roman" w:hAnsi="Times New Roman" w:eastAsia="仿宋_GB2312" w:cs="仿宋_GB2312"/>
                <w:b/>
                <w:bCs/>
                <w:color w:val="FFFFFF"/>
                <w:kern w:val="0"/>
                <w:sz w:val="28"/>
                <w:szCs w:val="28"/>
              </w:rPr>
              <w:t>分）</w:t>
            </w:r>
          </w:p>
        </w:tc>
        <w:tc>
          <w:tcPr>
            <w:tcW w:w="968" w:type="pct"/>
            <w:shd w:val="clear" w:color="auto" w:fill="BEBEBE"/>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center"/>
              <w:rPr>
                <w:rFonts w:hint="eastAsia" w:ascii="Times New Roman" w:hAnsi="Times New Roman" w:eastAsia="仿宋_GB2312" w:cs="仿宋_GB2312"/>
                <w:b/>
                <w:bCs/>
                <w:color w:val="FFFFFF"/>
                <w:kern w:val="2"/>
                <w:sz w:val="28"/>
                <w:szCs w:val="28"/>
                <w:lang w:val="en-US" w:eastAsia="zh-CN" w:bidi="ar-SA"/>
              </w:rPr>
            </w:pPr>
            <w:r>
              <w:rPr>
                <w:rFonts w:hint="eastAsia" w:ascii="Times New Roman" w:hAnsi="Times New Roman" w:eastAsia="仿宋_GB2312" w:cs="仿宋_GB2312"/>
                <w:b/>
                <w:bCs/>
                <w:color w:val="FFFFFF"/>
                <w:kern w:val="0"/>
                <w:sz w:val="28"/>
                <w:szCs w:val="28"/>
              </w:rPr>
              <w:t>综合得分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atLeast"/>
        </w:trPr>
        <w:tc>
          <w:tcPr>
            <w:tcW w:w="1045"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ascii="Times New Roman" w:hAnsi="Times New Roman" w:eastAsia="仿宋" w:cs="仿宋"/>
                <w:color w:val="auto"/>
                <w:sz w:val="24"/>
                <w:szCs w:val="24"/>
                <w:lang w:val="en-US" w:eastAsia="zh-CN"/>
              </w:rPr>
              <w:t>18.00</w:t>
            </w:r>
          </w:p>
        </w:tc>
        <w:tc>
          <w:tcPr>
            <w:tcW w:w="936"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ascii="Times New Roman" w:hAnsi="Times New Roman" w:eastAsia="仿宋" w:cs="仿宋"/>
                <w:color w:val="auto"/>
                <w:sz w:val="24"/>
                <w:szCs w:val="24"/>
                <w:lang w:val="en-US" w:eastAsia="zh-CN"/>
              </w:rPr>
              <w:t>17.86</w:t>
            </w:r>
          </w:p>
        </w:tc>
        <w:tc>
          <w:tcPr>
            <w:tcW w:w="986"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ascii="Times New Roman" w:hAnsi="Times New Roman" w:eastAsia="仿宋" w:cs="仿宋"/>
                <w:color w:val="auto"/>
                <w:sz w:val="24"/>
                <w:szCs w:val="24"/>
                <w:lang w:val="en-US" w:eastAsia="zh-CN"/>
              </w:rPr>
              <w:t>34.00</w:t>
            </w:r>
          </w:p>
        </w:tc>
        <w:tc>
          <w:tcPr>
            <w:tcW w:w="1062"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sz w:val="24"/>
                <w:szCs w:val="24"/>
                <w:lang w:val="en-US" w:eastAsia="zh-CN"/>
              </w:rPr>
            </w:pPr>
            <w:r>
              <w:rPr>
                <w:rFonts w:hint="eastAsia" w:ascii="Times New Roman" w:hAnsi="Times New Roman" w:eastAsia="仿宋" w:cs="仿宋"/>
                <w:color w:val="auto"/>
                <w:sz w:val="24"/>
                <w:szCs w:val="24"/>
                <w:lang w:val="en-US" w:eastAsia="zh-CN"/>
              </w:rPr>
              <w:t>24.00</w:t>
            </w:r>
          </w:p>
        </w:tc>
        <w:tc>
          <w:tcPr>
            <w:tcW w:w="968" w:type="pct"/>
            <w:noWrap w:val="0"/>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仿宋" w:cs="仿宋"/>
                <w:color w:val="auto"/>
                <w:kern w:val="2"/>
                <w:sz w:val="24"/>
                <w:szCs w:val="24"/>
                <w:lang w:val="en-US" w:eastAsia="zh-CN" w:bidi="ar-SA"/>
              </w:rPr>
            </w:pPr>
            <w:r>
              <w:rPr>
                <w:rFonts w:hint="eastAsia" w:ascii="Times New Roman" w:hAnsi="Times New Roman" w:eastAsia="仿宋" w:cs="仿宋"/>
                <w:color w:val="auto"/>
                <w:sz w:val="24"/>
                <w:szCs w:val="24"/>
                <w:lang w:val="en-US" w:eastAsia="zh-CN"/>
              </w:rPr>
              <w:t>93.86</w:t>
            </w:r>
          </w:p>
        </w:tc>
      </w:tr>
    </w:tbl>
    <w:p>
      <w:pPr>
        <w:pageBreakBefore w:val="0"/>
        <w:widowControl w:val="0"/>
        <w:tabs>
          <w:tab w:val="left" w:pos="312"/>
        </w:tabs>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bCs/>
          <w:color w:val="auto"/>
          <w:sz w:val="28"/>
          <w:szCs w:val="28"/>
        </w:rPr>
      </w:pPr>
      <w:r>
        <w:rPr>
          <w:rFonts w:hint="eastAsia" w:ascii="Times New Roman" w:hAnsi="Times New Roman" w:eastAsia="楷体_GB2312" w:cs="楷体_GB2312"/>
          <w:b/>
          <w:bCs/>
          <w:color w:val="auto"/>
          <w:sz w:val="32"/>
          <w:szCs w:val="32"/>
        </w:rPr>
        <w:t>（二）主要结论：</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rPr>
      </w:pPr>
      <w:r>
        <w:rPr>
          <w:rFonts w:hint="eastAsia" w:ascii="Times New Roman" w:hAnsi="Times New Roman" w:eastAsia="仿宋_GB2312" w:cs="Times New Roman"/>
          <w:b w:val="0"/>
          <w:bCs w:val="0"/>
          <w:color w:val="auto"/>
          <w:kern w:val="2"/>
          <w:sz w:val="28"/>
          <w:szCs w:val="28"/>
          <w:lang w:val="en-US" w:eastAsia="zh-CN"/>
        </w:rPr>
        <w:t>2022年，新建区教育体育局延续开展教育系统师资培训费项目，项目预算安排575.00万元，</w:t>
      </w:r>
      <w:r>
        <w:rPr>
          <w:rFonts w:hint="eastAsia" w:ascii="Times New Roman" w:hAnsi="Times New Roman" w:eastAsia="仿宋_GB2312" w:cs="仿宋_GB2312"/>
          <w:b w:val="0"/>
          <w:bCs w:val="0"/>
          <w:color w:val="auto"/>
          <w:kern w:val="2"/>
          <w:sz w:val="28"/>
          <w:szCs w:val="28"/>
          <w:lang w:val="en-US" w:eastAsia="zh-CN"/>
        </w:rPr>
        <w:t>根据《关于印发&lt;新建区2022年中小学（幼儿园）管理干部、教师培训工作计划&gt;的通知》</w:t>
      </w:r>
      <w:r>
        <w:rPr>
          <w:rFonts w:hint="eastAsia" w:ascii="Times New Roman" w:hAnsi="Times New Roman" w:eastAsia="仿宋_GB2312" w:cs="仿宋_GB2312"/>
          <w:b w:val="0"/>
          <w:bCs w:val="0"/>
          <w:color w:val="auto"/>
          <w:sz w:val="28"/>
          <w:szCs w:val="28"/>
          <w:lang w:val="en-US" w:eastAsia="zh-CN"/>
        </w:rPr>
        <w:t>等文件要求，实施开展国家、省市下达的各类统筹培训任务及分类开展自主培训工作，</w:t>
      </w:r>
      <w:r>
        <w:rPr>
          <w:rFonts w:hint="eastAsia" w:ascii="Times New Roman" w:hAnsi="Times New Roman" w:eastAsia="仿宋_GB2312" w:cs="仿宋_GB2312"/>
          <w:b w:val="0"/>
          <w:bCs w:val="0"/>
          <w:color w:val="auto"/>
          <w:kern w:val="2"/>
          <w:sz w:val="28"/>
          <w:szCs w:val="28"/>
          <w:lang w:val="en-US" w:eastAsia="zh-CN"/>
        </w:rPr>
        <w:t>项目综合完成率</w:t>
      </w:r>
      <w:r>
        <w:rPr>
          <w:rFonts w:hint="eastAsia" w:ascii="Times New Roman" w:hAnsi="Times New Roman" w:eastAsia="仿宋_GB2312" w:cs="仿宋_GB2312"/>
          <w:b w:val="0"/>
          <w:bCs w:val="0"/>
          <w:color w:val="auto"/>
          <w:kern w:val="2"/>
          <w:sz w:val="28"/>
          <w:szCs w:val="28"/>
          <w:highlight w:val="none"/>
          <w:lang w:val="en-US" w:eastAsia="zh-CN"/>
        </w:rPr>
        <w:t>为100.00%，工</w:t>
      </w:r>
      <w:r>
        <w:rPr>
          <w:rFonts w:hint="eastAsia" w:ascii="Times New Roman" w:hAnsi="Times New Roman" w:eastAsia="仿宋_GB2312" w:cs="仿宋_GB2312"/>
          <w:b w:val="0"/>
          <w:bCs w:val="0"/>
          <w:color w:val="auto"/>
          <w:kern w:val="2"/>
          <w:sz w:val="28"/>
          <w:szCs w:val="28"/>
          <w:lang w:val="en-US" w:eastAsia="zh-CN"/>
        </w:rPr>
        <w:t>作任务完成较佳，</w:t>
      </w:r>
      <w:r>
        <w:rPr>
          <w:rFonts w:hint="eastAsia" w:ascii="Times New Roman" w:hAnsi="Times New Roman" w:eastAsia="仿宋_GB2312" w:cs="仿宋_GB2312"/>
          <w:b w:val="0"/>
          <w:bCs w:val="0"/>
          <w:color w:val="auto"/>
          <w:sz w:val="28"/>
          <w:szCs w:val="28"/>
          <w:lang w:val="en-US" w:eastAsia="zh-CN"/>
        </w:rPr>
        <w:t>推进素质教育和提高教育质量服务，提升师训工作在新建区教育和社会事业发展中的应有地位</w:t>
      </w:r>
      <w:r>
        <w:rPr>
          <w:rFonts w:hint="eastAsia" w:ascii="Times New Roman" w:hAnsi="Times New Roman" w:eastAsia="仿宋_GB2312" w:cs="仿宋_GB2312"/>
          <w:b w:val="0"/>
          <w:bCs w:val="0"/>
          <w:color w:val="auto"/>
          <w:kern w:val="2"/>
          <w:sz w:val="28"/>
          <w:szCs w:val="28"/>
          <w:lang w:val="en-US" w:eastAsia="zh-CN" w:bidi="ar-SA"/>
        </w:rPr>
        <w:t>；</w:t>
      </w:r>
      <w:r>
        <w:rPr>
          <w:rFonts w:hint="eastAsia" w:ascii="Times New Roman" w:hAnsi="Times New Roman" w:eastAsia="仿宋_GB2312" w:cs="仿宋_GB2312"/>
          <w:b w:val="0"/>
          <w:bCs w:val="0"/>
          <w:color w:val="auto"/>
          <w:kern w:val="2"/>
          <w:sz w:val="28"/>
          <w:szCs w:val="28"/>
          <w:lang w:val="en-US" w:eastAsia="zh-CN"/>
        </w:rPr>
        <w:t>但项目实施仍存在绩效目标不够明确、</w:t>
      </w:r>
      <w:r>
        <w:rPr>
          <w:rFonts w:hint="eastAsia" w:ascii="Times New Roman" w:hAnsi="Times New Roman" w:eastAsia="仿宋_GB2312" w:cs="仿宋_GB2312"/>
          <w:b w:val="0"/>
          <w:bCs w:val="0"/>
          <w:color w:val="auto"/>
          <w:kern w:val="2"/>
          <w:sz w:val="28"/>
          <w:szCs w:val="28"/>
          <w:highlight w:val="none"/>
          <w:lang w:val="en-US" w:eastAsia="zh-CN"/>
        </w:rPr>
        <w:t>管理制度不够健全等</w:t>
      </w:r>
      <w:r>
        <w:rPr>
          <w:rFonts w:hint="eastAsia" w:ascii="Times New Roman" w:hAnsi="Times New Roman" w:eastAsia="仿宋_GB2312" w:cs="仿宋_GB2312"/>
          <w:b w:val="0"/>
          <w:bCs w:val="0"/>
          <w:color w:val="auto"/>
          <w:kern w:val="2"/>
          <w:sz w:val="28"/>
          <w:szCs w:val="28"/>
          <w:lang w:val="en-US" w:eastAsia="zh-CN"/>
        </w:rPr>
        <w:t>问题。</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103" w:name="_Toc6505"/>
      <w:r>
        <w:rPr>
          <w:rFonts w:hint="eastAsia" w:cs="黑体"/>
          <w:color w:val="auto"/>
        </w:rPr>
        <w:t>四、绩效评价指标分析</w:t>
      </w:r>
      <w:bookmarkEnd w:id="87"/>
      <w:bookmarkEnd w:id="103"/>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lang w:eastAsia="zh-CN"/>
        </w:rPr>
      </w:pPr>
      <w:bookmarkStart w:id="104" w:name="_Toc23132"/>
      <w:r>
        <w:rPr>
          <w:rFonts w:hint="eastAsia" w:ascii="Times New Roman" w:hAnsi="Times New Roman" w:eastAsia="楷体_GB2312" w:cs="楷体_GB2312"/>
          <w:color w:val="auto"/>
        </w:rPr>
        <w:t>（一）项目决策情况</w:t>
      </w:r>
      <w:r>
        <w:rPr>
          <w:rFonts w:hint="eastAsia" w:ascii="Times New Roman" w:hAnsi="Times New Roman" w:eastAsia="楷体_GB2312" w:cs="楷体_GB2312"/>
          <w:color w:val="auto"/>
          <w:lang w:eastAsia="zh-CN"/>
        </w:rPr>
        <w:t>（</w:t>
      </w:r>
      <w:r>
        <w:rPr>
          <w:rFonts w:hint="eastAsia" w:ascii="Times New Roman" w:hAnsi="Times New Roman" w:eastAsia="楷体_GB2312" w:cs="楷体_GB2312"/>
          <w:color w:val="auto"/>
          <w:lang w:val="en-US" w:eastAsia="zh-CN"/>
        </w:rPr>
        <w:t>20分</w:t>
      </w:r>
      <w:r>
        <w:rPr>
          <w:rFonts w:hint="eastAsia" w:ascii="Times New Roman" w:hAnsi="Times New Roman" w:eastAsia="楷体_GB2312" w:cs="楷体_GB2312"/>
          <w:color w:val="auto"/>
          <w:lang w:eastAsia="zh-CN"/>
        </w:rPr>
        <w:t>）</w:t>
      </w:r>
      <w:bookmarkEnd w:id="104"/>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eastAsia="仿宋_GB2312"/>
          <w:color w:val="auto"/>
          <w:lang w:val="en-US" w:eastAsia="zh-CN"/>
        </w:rPr>
      </w:pPr>
      <w:bookmarkStart w:id="105" w:name="_Toc13095"/>
      <w:bookmarkStart w:id="106" w:name="_Toc16972"/>
      <w:bookmarkStart w:id="107" w:name="_Toc24136"/>
      <w:bookmarkStart w:id="108" w:name="_Toc23845"/>
      <w:bookmarkStart w:id="109" w:name="_Toc32408"/>
      <w:bookmarkStart w:id="110" w:name="_Toc2201"/>
      <w:bookmarkStart w:id="111" w:name="_Toc512441878"/>
      <w:r>
        <w:rPr>
          <w:rFonts w:ascii="Times New Roman" w:hAnsi="Times New Roman" w:eastAsia="仿宋_GB2312" w:cs="Times New Roman"/>
          <w:color w:val="auto"/>
        </w:rPr>
        <w:t>1</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项目立项</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lang w:val="en-US" w:eastAsia="zh-CN"/>
        </w:rPr>
        <w:t>6分）</w:t>
      </w:r>
      <w:bookmarkEnd w:id="105"/>
      <w:bookmarkEnd w:id="106"/>
      <w:bookmarkEnd w:id="107"/>
      <w:bookmarkEnd w:id="108"/>
      <w:bookmarkEnd w:id="109"/>
      <w:bookmarkEnd w:id="110"/>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val="en-US" w:eastAsia="zh-CN"/>
        </w:rPr>
        <w:t>（1）立项依据充分性（3分）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w:t>
      </w:r>
      <w:r>
        <w:rPr>
          <w:rFonts w:hint="eastAsia" w:ascii="Times New Roman" w:hAnsi="Times New Roman" w:eastAsia="仿宋_GB2312" w:cs="仿宋_GB2312"/>
          <w:b w:val="0"/>
          <w:bCs w:val="0"/>
          <w:color w:val="auto"/>
          <w:sz w:val="28"/>
          <w:szCs w:val="28"/>
          <w:lang w:eastAsia="zh-CN"/>
        </w:rPr>
        <w:t>《项目支出绩效评价管理办法》</w:t>
      </w:r>
      <w:r>
        <w:rPr>
          <w:rFonts w:hint="eastAsia" w:ascii="Times New Roman" w:hAnsi="Times New Roman" w:eastAsia="仿宋_GB2312" w:cs="仿宋_GB2312"/>
          <w:b w:val="0"/>
          <w:bCs w:val="0"/>
          <w:color w:val="auto"/>
          <w:kern w:val="2"/>
          <w:sz w:val="28"/>
          <w:szCs w:val="28"/>
          <w:lang w:val="en-US" w:eastAsia="zh-CN" w:bidi="ar-SA"/>
        </w:rPr>
        <w:t>（财预〔2020〕10号）“项目是否符合法律法规、相关政策、发展规划以及部门职责”设立此指标。</w:t>
      </w:r>
      <w:r>
        <w:rPr>
          <w:rFonts w:hint="eastAsia" w:ascii="Times New Roman" w:hAnsi="Times New Roman" w:eastAsia="仿宋_GB2312" w:cs="仿宋_GB2312"/>
          <w:b w:val="0"/>
          <w:bCs w:val="0"/>
          <w:color w:val="auto"/>
          <w:kern w:val="2"/>
          <w:sz w:val="28"/>
          <w:szCs w:val="28"/>
          <w:highlight w:val="none"/>
          <w:lang w:val="en-US" w:eastAsia="zh-CN" w:bidi="ar-SA"/>
        </w:rPr>
        <w:t>通过核查项目立项业务材料</w:t>
      </w:r>
      <w:r>
        <w:rPr>
          <w:rFonts w:hint="eastAsia" w:ascii="Times New Roman" w:hAnsi="Times New Roman" w:eastAsia="仿宋_GB2312" w:cs="仿宋_GB2312"/>
          <w:b w:val="0"/>
          <w:bCs w:val="0"/>
          <w:color w:val="auto"/>
          <w:kern w:val="2"/>
          <w:sz w:val="28"/>
          <w:szCs w:val="28"/>
          <w:lang w:val="en-US" w:eastAsia="zh-CN" w:bidi="ar-SA"/>
        </w:rPr>
        <w:t>，了解到教育系统师资培训费项目依据</w:t>
      </w:r>
      <w:r>
        <w:rPr>
          <w:rFonts w:hint="eastAsia" w:ascii="Times New Roman" w:hAnsi="Times New Roman" w:eastAsia="仿宋_GB2312" w:cs="仿宋_GB2312"/>
          <w:b w:val="0"/>
          <w:bCs w:val="0"/>
          <w:color w:val="auto"/>
          <w:kern w:val="2"/>
          <w:sz w:val="28"/>
          <w:szCs w:val="28"/>
          <w:lang w:val="en-US" w:eastAsia="zh-CN"/>
        </w:rPr>
        <w:t>《关于印发&lt;新建区2022年中小学（幼儿园）管理干部、教师培训工作计划&gt;的通知》</w:t>
      </w:r>
      <w:r>
        <w:rPr>
          <w:rFonts w:hint="eastAsia" w:ascii="Times New Roman" w:hAnsi="Times New Roman" w:eastAsia="仿宋_GB2312" w:cs="仿宋_GB2312"/>
          <w:b w:val="0"/>
          <w:bCs w:val="0"/>
          <w:color w:val="auto"/>
          <w:sz w:val="28"/>
          <w:szCs w:val="28"/>
          <w:lang w:val="en-US" w:eastAsia="zh-CN"/>
        </w:rPr>
        <w:t>等</w:t>
      </w:r>
      <w:r>
        <w:rPr>
          <w:rFonts w:hint="eastAsia" w:ascii="Times New Roman" w:hAnsi="Times New Roman" w:eastAsia="仿宋_GB2312" w:cs="仿宋_GB2312"/>
          <w:b w:val="0"/>
          <w:bCs w:val="0"/>
          <w:color w:val="auto"/>
          <w:kern w:val="2"/>
          <w:sz w:val="28"/>
          <w:szCs w:val="28"/>
          <w:lang w:val="en-US" w:eastAsia="zh-CN" w:bidi="ar-SA"/>
        </w:rPr>
        <w:t>文件立项，符合相关法律法规、政策以及部门职责。根据评分标准，该指标得分3.00分。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2" w:firstLineChars="200"/>
        <w:textAlignment w:val="auto"/>
        <w:rPr>
          <w:rFonts w:hint="eastAsia"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立项程序规范性（3分）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申请、设立过程是否符合相关要求”设立此指标。通过项目立项业务材料核查，新建区教育体育局根据《关于印发&lt;新建区2022年中小学（幼儿园）管理干部、教师培训工作计划&gt;的通知》等</w:t>
      </w:r>
      <w:r>
        <w:rPr>
          <w:rFonts w:hint="eastAsia" w:ascii="Times New Roman" w:hAnsi="Times New Roman" w:eastAsia="仿宋_GB2312" w:cs="仿宋_GB2312"/>
          <w:b w:val="0"/>
          <w:bCs w:val="0"/>
          <w:color w:val="auto"/>
          <w:sz w:val="28"/>
          <w:szCs w:val="28"/>
          <w:lang w:val="en-US" w:eastAsia="zh-CN"/>
        </w:rPr>
        <w:t>文件，</w:t>
      </w:r>
      <w:r>
        <w:rPr>
          <w:rFonts w:hint="eastAsia" w:ascii="Times New Roman" w:hAnsi="Times New Roman" w:eastAsia="仿宋_GB2312" w:cs="仿宋_GB2312"/>
          <w:b w:val="0"/>
          <w:bCs w:val="0"/>
          <w:color w:val="auto"/>
          <w:kern w:val="2"/>
          <w:sz w:val="28"/>
          <w:szCs w:val="28"/>
          <w:lang w:val="en-US" w:eastAsia="zh-CN" w:bidi="ar-SA"/>
        </w:rPr>
        <w:t>延续设立教育系统师资培训费项目，并按要求提交教育系统师资培训费项目相关材料，</w:t>
      </w:r>
      <w:r>
        <w:rPr>
          <w:rFonts w:hint="default" w:ascii="Times New Roman" w:hAnsi="Times New Roman" w:eastAsia="仿宋_GB2312" w:cs="Times New Roman"/>
          <w:b w:val="0"/>
          <w:bCs w:val="0"/>
          <w:sz w:val="28"/>
          <w:szCs w:val="28"/>
        </w:rPr>
        <w:t>各项提交的文件、材料符合相关要求</w:t>
      </w:r>
      <w:r>
        <w:rPr>
          <w:rFonts w:hint="default" w:ascii="Times New Roman" w:hAnsi="Times New Roman" w:eastAsia="仿宋_GB2312" w:cs="Times New Roman"/>
          <w:b w:val="0"/>
          <w:bCs w:val="0"/>
          <w:sz w:val="28"/>
          <w:szCs w:val="28"/>
          <w:lang w:eastAsia="zh-CN"/>
        </w:rPr>
        <w:t>，</w:t>
      </w:r>
      <w:r>
        <w:rPr>
          <w:rFonts w:hint="default" w:ascii="Times New Roman" w:hAnsi="Times New Roman" w:eastAsia="仿宋_GB2312" w:cs="Times New Roman"/>
          <w:b w:val="0"/>
          <w:bCs w:val="0"/>
          <w:sz w:val="28"/>
          <w:szCs w:val="28"/>
        </w:rPr>
        <w:t>项目立项程序规范</w:t>
      </w:r>
      <w:r>
        <w:rPr>
          <w:rFonts w:hint="eastAsia" w:ascii="Times New Roman" w:hAnsi="Times New Roman" w:eastAsia="仿宋_GB2312" w:cs="仿宋_GB2312"/>
          <w:b w:val="0"/>
          <w:bCs w:val="0"/>
          <w:color w:val="auto"/>
          <w:kern w:val="2"/>
          <w:sz w:val="28"/>
          <w:szCs w:val="28"/>
          <w:lang w:val="en-US" w:eastAsia="zh-CN" w:bidi="ar-SA"/>
        </w:rPr>
        <w:t>。根据评分标准，该指标得分3.00分。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112" w:name="_Toc6053"/>
      <w:bookmarkStart w:id="113" w:name="_Toc24588"/>
      <w:bookmarkStart w:id="114" w:name="_Toc26720"/>
      <w:bookmarkStart w:id="115" w:name="_Toc23506"/>
      <w:bookmarkStart w:id="116" w:name="_Toc786"/>
      <w:bookmarkStart w:id="117" w:name="_Toc13197"/>
      <w:r>
        <w:rPr>
          <w:rFonts w:hint="eastAsia" w:ascii="Times New Roman" w:hAnsi="Times New Roman" w:eastAsia="仿宋_GB2312" w:cs="Times New Roman"/>
          <w:color w:val="auto"/>
          <w:lang w:val="en-US" w:eastAsia="zh-CN"/>
        </w:rPr>
        <w:t>2</w:t>
      </w:r>
      <w:r>
        <w:rPr>
          <w:rFonts w:hint="eastAsia" w:ascii="Times New Roman" w:hAnsi="Times New Roman" w:eastAsia="仿宋_GB2312" w:cs="仿宋_GB2312"/>
          <w:color w:val="auto"/>
          <w:lang w:eastAsia="zh-CN"/>
        </w:rPr>
        <w:t>.</w:t>
      </w:r>
      <w:r>
        <w:rPr>
          <w:rFonts w:hint="eastAsia" w:ascii="Times New Roman" w:hAnsi="Times New Roman" w:eastAsia="仿宋_GB2312" w:cs="Times New Roman"/>
          <w:color w:val="auto"/>
          <w:lang w:val="en-US" w:eastAsia="zh-CN"/>
        </w:rPr>
        <w:t>绩效目标（6分）</w:t>
      </w:r>
      <w:bookmarkEnd w:id="112"/>
      <w:bookmarkEnd w:id="113"/>
      <w:bookmarkEnd w:id="114"/>
      <w:bookmarkEnd w:id="115"/>
      <w:bookmarkEnd w:id="116"/>
      <w:bookmarkEnd w:id="117"/>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1）绩效目标合理性（3分）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依据《项目支出绩效评价管理办法》（财预〔2020〕10号）“项目所设定的绩效目标是否依据充分、符合客观实际，项目绩效目标与项目实施是否相符”设立此指标。通过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项目立项业务材料，2022年度教育系统师资培训费项目根据培训计划明确绩效目标，绩效目标与实际工作内容相符，同时与预算确定的项目投资额或资金量相匹配。根据评分标准，该指标得分3.00分。</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（2）绩效指标明确性（3分）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依据《项目支出绩效评价管理办法》（财预〔2020〕10号）“绩效目标设定的绩效指标是否清晰、细化、可衡量”设立此指标。通过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项目业务材料，教育系统师资培训费项目绩效目标能够细化分解为具体的绩效指标，目标清晰可衡量。根据评分标准，该指</w:t>
      </w:r>
      <w:r>
        <w:rPr>
          <w:rFonts w:hint="eastAsia" w:eastAsia="仿宋_GB2312" w:cs="仿宋_GB2312"/>
          <w:b w:val="0"/>
          <w:bCs w:val="0"/>
          <w:color w:val="auto"/>
          <w:kern w:val="2"/>
          <w:sz w:val="28"/>
          <w:szCs w:val="28"/>
          <w:lang w:val="en-US" w:eastAsia="zh-CN" w:bidi="ar-SA"/>
        </w:rPr>
        <w:t>标</w:t>
      </w:r>
      <w:r>
        <w:rPr>
          <w:rFonts w:hint="eastAsia" w:ascii="Times New Roman" w:hAnsi="Times New Roman" w:eastAsia="仿宋_GB2312" w:cs="仿宋_GB2312"/>
          <w:b w:val="0"/>
          <w:bCs w:val="0"/>
          <w:color w:val="auto"/>
          <w:kern w:val="2"/>
          <w:sz w:val="28"/>
          <w:szCs w:val="28"/>
          <w:lang w:val="en-US" w:eastAsia="zh-CN" w:bidi="ar-SA"/>
        </w:rPr>
        <w:t>得分3.00分。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lang w:val="en-US" w:eastAsia="zh-CN"/>
        </w:rPr>
      </w:pPr>
      <w:bookmarkStart w:id="118" w:name="_Toc11796"/>
      <w:bookmarkStart w:id="119" w:name="_Toc3321"/>
      <w:bookmarkStart w:id="120" w:name="_Toc20471"/>
      <w:bookmarkStart w:id="121" w:name="_Toc13358"/>
      <w:bookmarkStart w:id="122" w:name="_Toc31117"/>
      <w:bookmarkStart w:id="123" w:name="_Toc26158"/>
      <w:r>
        <w:rPr>
          <w:rFonts w:hint="eastAsia" w:ascii="Times New Roman" w:hAnsi="Times New Roman" w:eastAsia="仿宋_GB2312" w:cs="Times New Roman"/>
          <w:color w:val="auto"/>
          <w:lang w:val="en-US" w:eastAsia="zh-CN"/>
        </w:rPr>
        <w:t>3</w:t>
      </w:r>
      <w:r>
        <w:rPr>
          <w:rFonts w:hint="eastAsia" w:ascii="Times New Roman" w:hAnsi="Times New Roman" w:eastAsia="仿宋_GB2312" w:cs="仿宋_GB2312"/>
          <w:color w:val="auto"/>
          <w:lang w:eastAsia="zh-CN"/>
        </w:rPr>
        <w:t>.</w:t>
      </w:r>
      <w:r>
        <w:rPr>
          <w:rFonts w:hint="eastAsia" w:ascii="Times New Roman" w:hAnsi="Times New Roman" w:eastAsia="仿宋_GB2312" w:cs="Times New Roman"/>
          <w:color w:val="auto"/>
          <w:lang w:val="en-US" w:eastAsia="zh-CN"/>
        </w:rPr>
        <w:t>资金投入（8分）</w:t>
      </w:r>
      <w:bookmarkEnd w:id="118"/>
      <w:bookmarkEnd w:id="119"/>
      <w:bookmarkEnd w:id="120"/>
      <w:bookmarkEnd w:id="121"/>
      <w:bookmarkEnd w:id="122"/>
      <w:bookmarkEnd w:id="123"/>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1）预算编制科学性（4分）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依据《项目支出绩效评价管理办法》（财预〔2020〕10号）“项目预算编制是否经过科学论证、有明确标准，资金额度与年度目标是否相适应”设立此指标。通过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立项业务和财务材料，新建区教育体育局根据教育系统师资培训费项目整体工作任务，编制项目预算，但2022年因疫情影响，培训方式及内容发生改变，预算编制未充分考虑当年疫情影响，未及时调整当年预算，预算编制科学性不足。根据评分标准，该指标得分2.00分。</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（2）资金分配合理性（4分）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依据《项目支出绩效评价管理办法》（财预〔2020〕10号）“项目预算资金分配是否有测算依据，与补助单位或地方实际是否相适应”设立此指标。通过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项目立项业务和财务材料，教育系统师资培训费项目预算按照</w:t>
      </w:r>
      <w:r>
        <w:rPr>
          <w:rFonts w:hint="eastAsia" w:ascii="Times New Roman" w:hAnsi="Times New Roman" w:eastAsia="仿宋_GB2312" w:cs="仿宋_GB2312"/>
          <w:color w:val="auto"/>
          <w:sz w:val="28"/>
          <w:szCs w:val="28"/>
          <w:lang w:val="en-US" w:eastAsia="zh-CN"/>
        </w:rPr>
        <w:t>国家、省市下达的各类统筹培训任务、自主培训</w:t>
      </w:r>
      <w:r>
        <w:rPr>
          <w:rFonts w:hint="eastAsia" w:ascii="Times New Roman" w:hAnsi="Times New Roman" w:eastAsia="仿宋_GB2312" w:cs="仿宋_GB2312"/>
          <w:b w:val="0"/>
          <w:bCs w:val="0"/>
          <w:color w:val="auto"/>
          <w:kern w:val="2"/>
          <w:sz w:val="28"/>
          <w:szCs w:val="28"/>
          <w:lang w:val="en-US" w:eastAsia="zh-CN" w:bidi="ar-SA"/>
        </w:rPr>
        <w:t>分配任务分配项目资金，与项目各项工作任务相适应。根据评分标准，该指标得分4.00分。</w:t>
      </w:r>
    </w:p>
    <w:p>
      <w:pPr>
        <w:pStyle w:val="5"/>
        <w:spacing w:line="600" w:lineRule="exact"/>
        <w:ind w:firstLine="643" w:firstLineChars="200"/>
        <w:rPr>
          <w:rFonts w:ascii="Times New Roman" w:hAnsi="Times New Roman" w:eastAsia="楷体_GB2312" w:cs="Times New Roman"/>
          <w:color w:val="auto"/>
        </w:rPr>
      </w:pPr>
      <w:bookmarkStart w:id="124" w:name="_Toc26157"/>
      <w:bookmarkStart w:id="125" w:name="_Toc11575"/>
      <w:bookmarkStart w:id="126" w:name="_Toc8575"/>
      <w:bookmarkStart w:id="127" w:name="_Toc23382"/>
      <w:r>
        <w:rPr>
          <w:rFonts w:hint="eastAsia" w:ascii="Times New Roman" w:hAnsi="Times New Roman" w:eastAsia="楷体_GB2312" w:cs="楷体_GB2312"/>
          <w:color w:val="auto"/>
        </w:rPr>
        <w:t>（二）项目过程情况（</w:t>
      </w:r>
      <w:r>
        <w:rPr>
          <w:rFonts w:hint="eastAsia" w:ascii="Times New Roman" w:hAnsi="Times New Roman" w:eastAsia="楷体_GB2312" w:cs="Times New Roman"/>
          <w:color w:val="auto"/>
          <w:lang w:val="en-US" w:eastAsia="zh-CN"/>
        </w:rPr>
        <w:t>20</w:t>
      </w:r>
      <w:r>
        <w:rPr>
          <w:rFonts w:hint="eastAsia" w:ascii="Times New Roman" w:hAnsi="Times New Roman" w:eastAsia="楷体_GB2312" w:cs="楷体_GB2312"/>
          <w:color w:val="auto"/>
        </w:rPr>
        <w:t>分）</w:t>
      </w:r>
      <w:bookmarkEnd w:id="124"/>
      <w:bookmarkEnd w:id="125"/>
      <w:bookmarkEnd w:id="126"/>
      <w:bookmarkEnd w:id="127"/>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color w:val="auto"/>
        </w:rPr>
      </w:pPr>
      <w:bookmarkStart w:id="128" w:name="_Toc17096"/>
      <w:bookmarkStart w:id="129" w:name="_Toc715"/>
      <w:bookmarkStart w:id="130" w:name="_Toc2755"/>
      <w:bookmarkStart w:id="131" w:name="_Toc8198"/>
      <w:bookmarkStart w:id="132" w:name="_Toc11303"/>
      <w:bookmarkStart w:id="133" w:name="_Toc4123"/>
      <w:r>
        <w:rPr>
          <w:rFonts w:ascii="Times New Roman" w:hAnsi="Times New Roman" w:eastAsia="仿宋_GB2312" w:cs="Times New Roman"/>
          <w:color w:val="auto"/>
        </w:rPr>
        <w:t>1</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资金管理（10分）</w:t>
      </w:r>
      <w:bookmarkEnd w:id="128"/>
      <w:bookmarkEnd w:id="129"/>
      <w:bookmarkEnd w:id="130"/>
      <w:bookmarkEnd w:id="131"/>
      <w:bookmarkEnd w:id="132"/>
      <w:bookmarkEnd w:id="133"/>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1）资金到位率（3分）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FF0000"/>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依据《项目支出绩效评价管理办法》（财预〔2020〕10号）“实际到位资金与预算资金的比率”设立此指标。通过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项目财务材料，教育系统师资培训费项目预算575.00万元；</w:t>
      </w:r>
      <w:r>
        <w:rPr>
          <w:rFonts w:hint="eastAsia" w:ascii="Times New Roman" w:hAnsi="Times New Roman" w:eastAsia="仿宋_GB2312" w:cs="仿宋_GB2312"/>
          <w:b w:val="0"/>
          <w:bCs w:val="0"/>
          <w:color w:val="auto"/>
          <w:kern w:val="2"/>
          <w:sz w:val="28"/>
          <w:szCs w:val="28"/>
          <w:highlight w:val="none"/>
          <w:lang w:val="en-US" w:eastAsia="zh-CN" w:bidi="ar-SA"/>
        </w:rPr>
        <w:t>截</w:t>
      </w:r>
      <w:r>
        <w:rPr>
          <w:rFonts w:hint="eastAsia" w:ascii="Times New Roman" w:hAnsi="Times New Roman" w:eastAsia="仿宋_GB2312" w:cs="仿宋_GB2312"/>
          <w:b w:val="0"/>
          <w:bCs w:val="0"/>
          <w:color w:val="auto"/>
          <w:kern w:val="2"/>
          <w:sz w:val="28"/>
          <w:szCs w:val="28"/>
          <w:lang w:val="en-US" w:eastAsia="zh-CN" w:bidi="ar-SA"/>
        </w:rPr>
        <w:t>至2022年12月31日，实际</w:t>
      </w:r>
      <w:r>
        <w:rPr>
          <w:rFonts w:hint="eastAsia" w:ascii="Times New Roman" w:hAnsi="Times New Roman" w:eastAsia="仿宋_GB2312" w:cs="仿宋_GB2312"/>
          <w:b w:val="0"/>
          <w:bCs w:val="0"/>
          <w:color w:val="auto"/>
          <w:kern w:val="2"/>
          <w:sz w:val="28"/>
          <w:szCs w:val="28"/>
          <w:highlight w:val="none"/>
          <w:lang w:val="en-US" w:eastAsia="zh-CN" w:bidi="ar-SA"/>
        </w:rPr>
        <w:t>到位资金575.00万</w:t>
      </w:r>
      <w:r>
        <w:rPr>
          <w:rFonts w:hint="eastAsia" w:ascii="Times New Roman" w:hAnsi="Times New Roman" w:eastAsia="仿宋_GB2312" w:cs="仿宋_GB2312"/>
          <w:b w:val="0"/>
          <w:bCs w:val="0"/>
          <w:color w:val="auto"/>
          <w:kern w:val="2"/>
          <w:sz w:val="28"/>
          <w:szCs w:val="28"/>
          <w:lang w:val="en-US" w:eastAsia="zh-CN" w:bidi="ar-SA"/>
        </w:rPr>
        <w:t>元，资金到位率100.00%。根据评分标准，该指标得分3.00分。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（2）预算执行率（4分）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依据《项目支出绩效评价管理办法》（财预〔2020〕10号）“项目预算资金是否按照计划执行”设立此指标。通过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项目财务材料，</w:t>
      </w:r>
      <w:r>
        <w:rPr>
          <w:rFonts w:hint="eastAsia" w:ascii="Times New Roman" w:hAnsi="Times New Roman" w:eastAsia="仿宋_GB2312" w:cs="仿宋_GB2312"/>
          <w:b w:val="0"/>
          <w:bCs w:val="0"/>
          <w:color w:val="auto"/>
          <w:kern w:val="2"/>
          <w:sz w:val="28"/>
          <w:szCs w:val="28"/>
          <w:highlight w:val="none"/>
          <w:lang w:val="en-US" w:eastAsia="zh-CN" w:bidi="ar-SA"/>
        </w:rPr>
        <w:t>截</w:t>
      </w:r>
      <w:r>
        <w:rPr>
          <w:rFonts w:hint="eastAsia" w:ascii="Times New Roman" w:hAnsi="Times New Roman" w:eastAsia="仿宋_GB2312" w:cs="仿宋_GB2312"/>
          <w:b w:val="0"/>
          <w:bCs w:val="0"/>
          <w:color w:val="auto"/>
          <w:kern w:val="2"/>
          <w:sz w:val="28"/>
          <w:szCs w:val="28"/>
          <w:lang w:val="en-US" w:eastAsia="zh-CN" w:bidi="ar-SA"/>
        </w:rPr>
        <w:t>至2022年12月31日，教育系统师资培训费项目</w:t>
      </w:r>
      <w:r>
        <w:rPr>
          <w:rFonts w:hint="eastAsia" w:ascii="Times New Roman" w:hAnsi="Times New Roman" w:eastAsia="仿宋_GB2312" w:cs="仿宋_GB2312"/>
          <w:b w:val="0"/>
          <w:bCs w:val="0"/>
          <w:color w:val="auto"/>
          <w:kern w:val="2"/>
          <w:sz w:val="28"/>
          <w:szCs w:val="28"/>
          <w:highlight w:val="none"/>
          <w:lang w:val="en-US" w:eastAsia="zh-CN" w:bidi="ar-SA"/>
        </w:rPr>
        <w:t>到位资金575.00万元，实际支出资金共计</w:t>
      </w:r>
      <w:r>
        <w:rPr>
          <w:rFonts w:hint="eastAsia" w:ascii="Times New Roman" w:hAnsi="Times New Roman" w:eastAsia="仿宋_GB2312" w:cs="仿宋_GB2312"/>
          <w:color w:val="auto"/>
          <w:sz w:val="28"/>
          <w:szCs w:val="28"/>
          <w:highlight w:val="none"/>
          <w:lang w:val="en-US" w:eastAsia="zh-CN"/>
        </w:rPr>
        <w:t>555.00万元</w:t>
      </w:r>
      <w:r>
        <w:rPr>
          <w:rFonts w:hint="eastAsia" w:ascii="Times New Roman" w:hAnsi="Times New Roman" w:eastAsia="仿宋_GB2312" w:cs="仿宋_GB2312"/>
          <w:b w:val="0"/>
          <w:bCs w:val="0"/>
          <w:color w:val="auto"/>
          <w:kern w:val="2"/>
          <w:sz w:val="28"/>
          <w:szCs w:val="28"/>
          <w:highlight w:val="none"/>
          <w:lang w:val="en-US" w:eastAsia="zh-CN" w:bidi="ar-SA"/>
        </w:rPr>
        <w:t>，预算资金执行率96.52%。根据评分标准，该</w:t>
      </w:r>
      <w:r>
        <w:rPr>
          <w:rFonts w:hint="eastAsia" w:ascii="Times New Roman" w:hAnsi="Times New Roman" w:eastAsia="仿宋_GB2312" w:cs="仿宋_GB2312"/>
          <w:b w:val="0"/>
          <w:bCs w:val="0"/>
          <w:color w:val="auto"/>
          <w:kern w:val="2"/>
          <w:sz w:val="28"/>
          <w:szCs w:val="28"/>
          <w:lang w:val="en-US" w:eastAsia="zh-CN" w:bidi="ar-SA"/>
        </w:rPr>
        <w:t>指标得分3.86分。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br w:type="page"/>
      </w:r>
      <w:r>
        <w:rPr>
          <w:rFonts w:hint="eastAsia" w:ascii="Times New Roman" w:hAnsi="Times New Roman" w:eastAsia="仿宋_GB2312" w:cs="仿宋_GB2312"/>
          <w:b/>
          <w:bCs/>
          <w:color w:val="auto"/>
          <w:kern w:val="2"/>
          <w:sz w:val="28"/>
          <w:szCs w:val="28"/>
          <w:lang w:val="en-US" w:eastAsia="zh-CN" w:bidi="ar-SA"/>
        </w:rPr>
        <w:t>（3）资金使用合规性（3分）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依据《项目支出绩效评价管理办法》（财预〔2020〕10号）“项目资金使用是否符合相关的财务制度规定”设立此指标。通过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项目业务资料和财务材料，截至2022年12月31日，教育系统师资培训费项目</w:t>
      </w:r>
      <w:r>
        <w:rPr>
          <w:rFonts w:hint="default" w:ascii="Times New Roman" w:hAnsi="Times New Roman" w:eastAsia="仿宋_GB2312" w:cs="Times New Roman"/>
          <w:color w:val="auto"/>
          <w:sz w:val="28"/>
          <w:szCs w:val="28"/>
          <w:lang w:val="en-US" w:eastAsia="zh-CN"/>
        </w:rPr>
        <w:t>各项支出均有完整的审批程序和手续，且符合国家财经法规和财务管理制度以及有关专项资金管理办法的规定</w:t>
      </w:r>
      <w:r>
        <w:rPr>
          <w:rFonts w:hint="eastAsia" w:ascii="Times New Roman" w:hAnsi="Times New Roman" w:eastAsia="仿宋_GB2312" w:cs="Times New Roman"/>
          <w:color w:val="auto"/>
          <w:sz w:val="28"/>
          <w:szCs w:val="28"/>
          <w:lang w:val="en-US" w:eastAsia="zh-CN"/>
        </w:rPr>
        <w:t>，</w:t>
      </w:r>
      <w:r>
        <w:rPr>
          <w:rFonts w:hint="eastAsia" w:ascii="Times New Roman" w:hAnsi="Times New Roman" w:eastAsia="仿宋_GB2312" w:cs="仿宋_GB2312"/>
          <w:b w:val="0"/>
          <w:bCs w:val="0"/>
          <w:color w:val="auto"/>
          <w:kern w:val="2"/>
          <w:sz w:val="28"/>
          <w:szCs w:val="28"/>
          <w:lang w:val="en-US" w:eastAsia="zh-CN" w:bidi="ar-SA"/>
        </w:rPr>
        <w:t>项目资金使用均合规。根据评分标准，该指标得分3.00分。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rPr>
      </w:pPr>
      <w:bookmarkStart w:id="134" w:name="_Toc5268"/>
      <w:bookmarkStart w:id="135" w:name="_Toc27253"/>
      <w:bookmarkStart w:id="136" w:name="_Toc4003"/>
      <w:bookmarkStart w:id="137" w:name="_Toc32221"/>
      <w:bookmarkStart w:id="138" w:name="_Toc26679"/>
      <w:r>
        <w:rPr>
          <w:rFonts w:hint="eastAsia" w:ascii="Times New Roman" w:hAnsi="Times New Roman" w:eastAsia="仿宋_GB2312" w:cs="Times New Roman"/>
          <w:color w:val="auto"/>
          <w:lang w:val="en-US" w:eastAsia="zh-CN"/>
        </w:rPr>
        <w:t>2</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组织实施（</w:t>
      </w:r>
      <w:r>
        <w:rPr>
          <w:rFonts w:hint="eastAsia" w:ascii="Times New Roman" w:hAnsi="Times New Roman" w:eastAsia="仿宋_GB2312" w:cs="仿宋_GB2312"/>
          <w:color w:val="auto"/>
          <w:lang w:val="en-US" w:eastAsia="zh-CN"/>
        </w:rPr>
        <w:t>10</w:t>
      </w:r>
      <w:r>
        <w:rPr>
          <w:rFonts w:hint="eastAsia" w:ascii="Times New Roman" w:hAnsi="Times New Roman" w:eastAsia="仿宋_GB2312" w:cs="仿宋_GB2312"/>
          <w:color w:val="auto"/>
        </w:rPr>
        <w:t>分）</w:t>
      </w:r>
      <w:bookmarkEnd w:id="134"/>
      <w:bookmarkEnd w:id="135"/>
      <w:bookmarkEnd w:id="136"/>
      <w:bookmarkEnd w:id="137"/>
      <w:bookmarkEnd w:id="138"/>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1）管理制度健全性（5分）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依据《项目支出绩效评价管理办法》（财预〔2020〕10号）“项目实施单位的财务和业务管理制度是否健全”设立此指标。通过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和财务材料，新建区教育体育局以部门管理制度与财务制度作为教育系统师资培训费项目管理实施依据，有效规范项目实施；但未针对项目特性制定项目专项资金管理办法和管理制度，不利于为项目全面监管提供依据和标准，项目管理制度健全性待提高。根据评分标准，该指标得分3.00分。</w:t>
      </w:r>
    </w:p>
    <w:p>
      <w:pPr>
        <w:pStyle w:val="2"/>
        <w:keepNext w:val="0"/>
        <w:keepLines w:val="0"/>
        <w:pageBreakBefore w:val="0"/>
        <w:widowControl w:val="0"/>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仿宋_GB2312"/>
          <w:b/>
          <w:bCs/>
          <w:color w:val="auto"/>
          <w:kern w:val="2"/>
          <w:sz w:val="28"/>
          <w:szCs w:val="28"/>
          <w:lang w:val="en-US" w:eastAsia="zh-CN" w:bidi="ar-SA"/>
        </w:rPr>
      </w:pPr>
      <w:r>
        <w:rPr>
          <w:rFonts w:hint="eastAsia" w:ascii="Times New Roman" w:hAnsi="Times New Roman" w:eastAsia="仿宋_GB2312" w:cs="仿宋_GB2312"/>
          <w:b/>
          <w:bCs/>
          <w:color w:val="auto"/>
          <w:kern w:val="2"/>
          <w:sz w:val="28"/>
          <w:szCs w:val="28"/>
          <w:lang w:val="en-US" w:eastAsia="zh-CN" w:bidi="ar-SA"/>
        </w:rPr>
        <w:t>（2）制度执行有效性（5分）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b w:val="0"/>
          <w:bCs w:val="0"/>
          <w:color w:val="auto"/>
          <w:kern w:val="2"/>
          <w:sz w:val="28"/>
          <w:szCs w:val="28"/>
          <w:lang w:val="en-US" w:eastAsia="zh-CN" w:bidi="ar-SA"/>
        </w:rPr>
        <w:t>依据《项目支出绩效评价管理办法》（财预〔2020〕10号）“项目实施是否符合相关规定”设立此指标。通过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项目业务资料和财务材料抽查，新建区教育体育局严格按照教育系统师资培训费项目要求完成各项培训工作，项目相关资料已进行及时归档，制度执行有效。根据评分标准，该指标得分5.00分。</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rPr>
      </w:pPr>
      <w:bookmarkStart w:id="139" w:name="_Toc8672"/>
      <w:bookmarkStart w:id="140" w:name="_Toc18119"/>
      <w:bookmarkStart w:id="141" w:name="_Toc5726"/>
      <w:bookmarkStart w:id="142" w:name="_Toc26039"/>
      <w:r>
        <w:rPr>
          <w:rFonts w:hint="eastAsia" w:ascii="Times New Roman" w:hAnsi="Times New Roman" w:eastAsia="楷体_GB2312" w:cs="楷体_GB2312"/>
          <w:color w:val="auto"/>
        </w:rPr>
        <w:t>（三）项目产出</w:t>
      </w:r>
      <w:r>
        <w:rPr>
          <w:rFonts w:hint="eastAsia" w:ascii="Times New Roman" w:hAnsi="Times New Roman" w:eastAsia="楷体_GB2312" w:cs="楷体_GB2312"/>
          <w:color w:val="auto"/>
          <w:lang w:val="en-US" w:eastAsia="zh-CN"/>
        </w:rPr>
        <w:t>情况</w:t>
      </w:r>
      <w:r>
        <w:rPr>
          <w:rFonts w:hint="eastAsia" w:ascii="Times New Roman" w:hAnsi="Times New Roman" w:eastAsia="楷体_GB2312" w:cs="楷体_GB2312"/>
          <w:color w:val="auto"/>
        </w:rPr>
        <w:t>（</w:t>
      </w:r>
      <w:r>
        <w:rPr>
          <w:rFonts w:hint="eastAsia" w:ascii="Times New Roman" w:hAnsi="Times New Roman" w:eastAsia="楷体_GB2312" w:cs="楷体_GB2312"/>
          <w:color w:val="auto"/>
          <w:lang w:val="en-US" w:eastAsia="zh-CN"/>
        </w:rPr>
        <w:t>34</w:t>
      </w:r>
      <w:r>
        <w:rPr>
          <w:rFonts w:hint="eastAsia" w:ascii="Times New Roman" w:hAnsi="Times New Roman" w:eastAsia="楷体_GB2312" w:cs="楷体_GB2312"/>
          <w:color w:val="auto"/>
        </w:rPr>
        <w:t>分）</w:t>
      </w:r>
      <w:bookmarkEnd w:id="139"/>
      <w:bookmarkEnd w:id="140"/>
      <w:bookmarkEnd w:id="141"/>
      <w:bookmarkEnd w:id="142"/>
      <w:r>
        <w:rPr>
          <w:rFonts w:hint="eastAsia" w:ascii="Times New Roman" w:hAnsi="Times New Roman" w:eastAsia="楷体_GB2312" w:cs="楷体_GB2312"/>
          <w:color w:val="auto"/>
        </w:rPr>
        <w:tab/>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43" w:name="_Toc29272"/>
      <w:bookmarkStart w:id="144" w:name="_Toc22403"/>
      <w:bookmarkStart w:id="145" w:name="_Toc23641"/>
      <w:bookmarkStart w:id="146" w:name="_Toc21505"/>
      <w:bookmarkStart w:id="147" w:name="_Toc27635"/>
      <w:bookmarkStart w:id="148" w:name="_Toc16676"/>
      <w:r>
        <w:rPr>
          <w:rFonts w:ascii="Times New Roman" w:hAnsi="Times New Roman" w:eastAsia="仿宋_GB2312" w:cs="Times New Roman"/>
          <w:color w:val="auto"/>
        </w:rPr>
        <w:t>1</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产出数量（</w:t>
      </w:r>
      <w:r>
        <w:rPr>
          <w:rFonts w:hint="eastAsia" w:ascii="Times New Roman" w:hAnsi="Times New Roman" w:eastAsia="仿宋_GB2312" w:cs="Times New Roman"/>
          <w:color w:val="auto"/>
          <w:lang w:val="en-US" w:eastAsia="zh-CN"/>
        </w:rPr>
        <w:t>15</w:t>
      </w:r>
      <w:r>
        <w:rPr>
          <w:rFonts w:hint="eastAsia" w:ascii="Times New Roman" w:hAnsi="Times New Roman" w:eastAsia="仿宋_GB2312" w:cs="仿宋_GB2312"/>
          <w:color w:val="auto"/>
        </w:rPr>
        <w:t>分）</w:t>
      </w:r>
      <w:bookmarkEnd w:id="143"/>
      <w:bookmarkEnd w:id="144"/>
      <w:bookmarkEnd w:id="145"/>
      <w:bookmarkEnd w:id="146"/>
      <w:bookmarkEnd w:id="147"/>
      <w:bookmarkEnd w:id="148"/>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bookmarkStart w:id="149" w:name="_Hlk39763621"/>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）完成思政素养培训120人次（</w:t>
      </w:r>
      <w:r>
        <w:rPr>
          <w:rFonts w:hint="eastAsia" w:ascii="Times New Roman" w:hAnsi="Times New Roman" w:eastAsia="仿宋_GB2312" w:cs="仿宋_GB2312"/>
          <w:b/>
          <w:bCs/>
          <w:color w:val="auto"/>
          <w:sz w:val="28"/>
          <w:szCs w:val="28"/>
          <w:lang w:val="en-US" w:eastAsia="zh-CN"/>
        </w:rPr>
        <w:t>3</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ascii="Times New Roman" w:hAnsi="Times New Roman" w:eastAsia="仿宋_GB2312" w:cs="Times New Roman"/>
          <w:color w:val="auto"/>
          <w:sz w:val="28"/>
          <w:szCs w:val="28"/>
        </w:rPr>
      </w:pPr>
      <w:r>
        <w:rPr>
          <w:rFonts w:hint="eastAsia" w:ascii="Times New Roman" w:hAnsi="Times New Roman" w:eastAsia="仿宋_GB2312" w:cs="仿宋_GB2312"/>
          <w:color w:val="auto"/>
          <w:sz w:val="28"/>
          <w:szCs w:val="28"/>
        </w:rPr>
        <w:t>依据</w:t>
      </w:r>
      <w:r>
        <w:rPr>
          <w:rFonts w:hint="eastAsia" w:ascii="Times New Roman" w:hAnsi="Times New Roman" w:eastAsia="仿宋_GB2312" w:cs="仿宋_GB2312"/>
          <w:b w:val="0"/>
          <w:bCs w:val="0"/>
          <w:color w:val="auto"/>
          <w:kern w:val="2"/>
          <w:sz w:val="28"/>
          <w:szCs w:val="28"/>
          <w:lang w:val="en-US" w:eastAsia="zh-CN" w:bidi="ar-SA"/>
        </w:rPr>
        <w:t>项目预期实现目标设立此项指标</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b w:val="0"/>
          <w:bCs w:val="0"/>
          <w:color w:val="auto"/>
          <w:kern w:val="2"/>
          <w:sz w:val="28"/>
          <w:szCs w:val="28"/>
          <w:lang w:val="en-US" w:eastAsia="zh-CN" w:bidi="ar-SA"/>
        </w:rPr>
        <w:t>教育系统师资培训费项目</w:t>
      </w:r>
      <w:r>
        <w:rPr>
          <w:rFonts w:hint="eastAsia" w:ascii="Times New Roman" w:hAnsi="Times New Roman" w:eastAsia="仿宋_GB2312" w:cs="仿宋_GB2312"/>
          <w:color w:val="auto"/>
          <w:sz w:val="28"/>
          <w:szCs w:val="28"/>
          <w:lang w:val="en-US" w:eastAsia="zh-CN"/>
        </w:rPr>
        <w:t>计划完成思政素养培训120人次，实际完成思政素养培训120人次，完成率100.00%。</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ascii="Times New Roman" w:hAnsi="Times New Roman" w:eastAsia="仿宋_GB2312" w:cs="仿宋_GB2312"/>
          <w:color w:val="auto"/>
          <w:sz w:val="28"/>
          <w:szCs w:val="28"/>
          <w:lang w:val="en-US" w:eastAsia="zh-CN"/>
        </w:rPr>
        <w:t>300</w:t>
      </w:r>
      <w:r>
        <w:rPr>
          <w:rFonts w:hint="eastAsia" w:ascii="Times New Roman" w:hAnsi="Times New Roman" w:eastAsia="仿宋_GB2312" w:cs="仿宋_GB2312"/>
          <w:color w:val="auto"/>
          <w:sz w:val="28"/>
          <w:szCs w:val="28"/>
        </w:rPr>
        <w:t>分。</w:t>
      </w:r>
    </w:p>
    <w:bookmarkEnd w:id="149"/>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2）完成语言能力素养培训118人次（3分）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rPr>
        <w:t>依据</w:t>
      </w:r>
      <w:r>
        <w:rPr>
          <w:rFonts w:hint="eastAsia" w:ascii="Times New Roman" w:hAnsi="Times New Roman" w:eastAsia="仿宋_GB2312" w:cs="仿宋_GB2312"/>
          <w:b w:val="0"/>
          <w:bCs w:val="0"/>
          <w:color w:val="auto"/>
          <w:kern w:val="2"/>
          <w:sz w:val="28"/>
          <w:szCs w:val="28"/>
          <w:lang w:val="en-US" w:eastAsia="zh-CN" w:bidi="ar-SA"/>
        </w:rPr>
        <w:t>项目预期实现目标设立此项指标</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b w:val="0"/>
          <w:bCs w:val="0"/>
          <w:color w:val="auto"/>
          <w:kern w:val="2"/>
          <w:sz w:val="28"/>
          <w:szCs w:val="28"/>
          <w:highlight w:val="none"/>
          <w:lang w:val="en-US" w:eastAsia="zh-CN" w:bidi="ar-SA"/>
        </w:rPr>
        <w:t>核查</w:t>
      </w:r>
      <w:r>
        <w:rPr>
          <w:rFonts w:hint="eastAsia" w:ascii="Times New Roman" w:hAnsi="Times New Roman" w:eastAsia="仿宋_GB2312" w:cs="仿宋_GB2312"/>
          <w:b w:val="0"/>
          <w:bCs w:val="0"/>
          <w:color w:val="auto"/>
          <w:kern w:val="2"/>
          <w:sz w:val="28"/>
          <w:szCs w:val="28"/>
          <w:lang w:val="en-US" w:eastAsia="zh-CN" w:bidi="ar-SA"/>
        </w:rPr>
        <w:t>项目业务资料</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教育系统师资培训费项目</w:t>
      </w:r>
      <w:r>
        <w:rPr>
          <w:rFonts w:hint="eastAsia" w:ascii="Times New Roman" w:hAnsi="Times New Roman" w:eastAsia="仿宋_GB2312" w:cs="仿宋_GB2312"/>
          <w:color w:val="auto"/>
          <w:sz w:val="28"/>
          <w:szCs w:val="28"/>
          <w:lang w:val="en-US" w:eastAsia="zh-CN"/>
        </w:rPr>
        <w:t>计划完成语言能力素养培训118人次，实际完成语言能力素养培训118人次，完成率100.00%。</w:t>
      </w:r>
      <w:r>
        <w:rPr>
          <w:rFonts w:hint="eastAsia" w:ascii="Times New Roman" w:hAnsi="Times New Roman" w:eastAsia="仿宋_GB2312" w:cs="仿宋_GB2312"/>
          <w:color w:val="auto"/>
          <w:sz w:val="28"/>
          <w:szCs w:val="28"/>
        </w:rPr>
        <w:t>根据评分标准，该指标得</w:t>
      </w:r>
      <w:r>
        <w:rPr>
          <w:rFonts w:hint="eastAsia" w:ascii="Times New Roman" w:hAnsi="Times New Roman" w:eastAsia="仿宋_GB2312" w:cs="仿宋_GB2312"/>
          <w:color w:val="auto"/>
          <w:sz w:val="28"/>
          <w:szCs w:val="28"/>
          <w:lang w:val="en-US" w:eastAsia="zh-CN"/>
        </w:rPr>
        <w:t>3.00</w:t>
      </w:r>
      <w:r>
        <w:rPr>
          <w:rFonts w:hint="eastAsia" w:ascii="Times New Roman" w:hAnsi="Times New Roman" w:eastAsia="仿宋_GB2312" w:cs="仿宋_GB2312"/>
          <w:color w:val="auto"/>
          <w:sz w:val="28"/>
          <w:szCs w:val="28"/>
        </w:rPr>
        <w:t>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2" w:firstLineChars="200"/>
        <w:textAlignment w:val="auto"/>
        <w:rPr>
          <w:rFonts w:hint="eastAsia" w:ascii="Times New Roman" w:hAnsi="Times New Roman" w:eastAsia="仿宋_GB2312" w:cs="仿宋_GB2312"/>
          <w:b/>
          <w:bCs/>
          <w:color w:val="auto"/>
          <w:sz w:val="28"/>
          <w:szCs w:val="28"/>
          <w:lang w:eastAsia="zh-CN"/>
        </w:rPr>
      </w:pPr>
      <w:r>
        <w:rPr>
          <w:rFonts w:hint="eastAsia" w:ascii="Times New Roman" w:hAnsi="Times New Roman" w:eastAsia="仿宋_GB2312" w:cs="仿宋_GB2312"/>
          <w:b/>
          <w:bCs/>
          <w:color w:val="auto"/>
          <w:sz w:val="28"/>
          <w:szCs w:val="28"/>
          <w:lang w:eastAsia="zh-CN"/>
        </w:rPr>
        <w:t>完成新任教师岗前培训98人次（</w:t>
      </w:r>
      <w:r>
        <w:rPr>
          <w:rFonts w:hint="eastAsia" w:ascii="Times New Roman" w:hAnsi="Times New Roman" w:eastAsia="仿宋_GB2312" w:cs="仿宋_GB2312"/>
          <w:b/>
          <w:bCs/>
          <w:color w:val="auto"/>
          <w:sz w:val="28"/>
          <w:szCs w:val="28"/>
          <w:lang w:val="en-US" w:eastAsia="zh-CN"/>
        </w:rPr>
        <w:t>2分</w:t>
      </w:r>
      <w:r>
        <w:rPr>
          <w:rFonts w:hint="eastAsia" w:ascii="Times New Roman" w:hAnsi="Times New Roman" w:eastAsia="仿宋_GB2312" w:cs="仿宋_GB2312"/>
          <w:b/>
          <w:bCs/>
          <w:color w:val="auto"/>
          <w:sz w:val="28"/>
          <w:szCs w:val="28"/>
          <w:lang w:eastAsia="zh-CN"/>
        </w:rPr>
        <w:t>）</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val="en-US" w:eastAsia="zh-CN"/>
        </w:rPr>
      </w:pPr>
      <w:r>
        <w:rPr>
          <w:rFonts w:hint="eastAsia" w:ascii="Times New Roman" w:hAnsi="Times New Roman" w:eastAsia="仿宋_GB2312" w:cs="仿宋_GB2312"/>
          <w:color w:val="auto"/>
          <w:sz w:val="28"/>
          <w:szCs w:val="28"/>
        </w:rPr>
        <w:t>依据</w:t>
      </w:r>
      <w:r>
        <w:rPr>
          <w:rFonts w:hint="eastAsia" w:ascii="Times New Roman" w:hAnsi="Times New Roman" w:eastAsia="仿宋_GB2312" w:cs="仿宋_GB2312"/>
          <w:color w:val="auto"/>
          <w:sz w:val="28"/>
          <w:szCs w:val="28"/>
          <w:lang w:val="en-US" w:eastAsia="zh-CN"/>
        </w:rPr>
        <w:t>项目预期实现目标设立此项指标</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color w:val="auto"/>
          <w:sz w:val="28"/>
          <w:szCs w:val="28"/>
          <w:lang w:val="en-US" w:eastAsia="zh-CN"/>
        </w:rPr>
        <w:t>核查项目业务资料</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教育系统师资培训费项目</w:t>
      </w:r>
      <w:r>
        <w:rPr>
          <w:rFonts w:hint="eastAsia" w:ascii="Times New Roman" w:hAnsi="Times New Roman" w:eastAsia="仿宋_GB2312" w:cs="仿宋_GB2312"/>
          <w:color w:val="auto"/>
          <w:sz w:val="28"/>
          <w:szCs w:val="28"/>
          <w:lang w:val="en-US" w:eastAsia="zh-CN"/>
        </w:rPr>
        <w:t>计划完成新任教师岗前培训98人次，实际完成新任教师岗前培训98人次，完成率100.00%。</w:t>
      </w:r>
      <w:r>
        <w:rPr>
          <w:rFonts w:hint="eastAsia" w:ascii="Times New Roman" w:hAnsi="Times New Roman" w:eastAsia="仿宋_GB2312" w:cs="仿宋_GB2312"/>
          <w:color w:val="auto"/>
          <w:sz w:val="28"/>
          <w:szCs w:val="28"/>
        </w:rPr>
        <w:t>根据评分标准，该指标得</w:t>
      </w:r>
      <w:r>
        <w:rPr>
          <w:rFonts w:hint="eastAsia" w:ascii="Times New Roman" w:hAnsi="Times New Roman" w:eastAsia="仿宋_GB2312" w:cs="仿宋_GB2312"/>
          <w:color w:val="auto"/>
          <w:sz w:val="28"/>
          <w:szCs w:val="28"/>
          <w:lang w:val="en-US" w:eastAsia="zh-CN"/>
        </w:rPr>
        <w:t>2.00分。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2" w:firstLineChars="200"/>
        <w:textAlignment w:val="auto"/>
        <w:rPr>
          <w:rFonts w:hint="eastAsia" w:ascii="Times New Roman" w:hAnsi="Times New Roman" w:eastAsia="仿宋_GB2312" w:cs="仿宋_GB2312"/>
          <w:b/>
          <w:bCs/>
          <w:color w:val="auto"/>
          <w:sz w:val="28"/>
          <w:szCs w:val="28"/>
          <w:lang w:eastAsia="zh-CN"/>
        </w:rPr>
      </w:pPr>
      <w:r>
        <w:rPr>
          <w:rFonts w:hint="eastAsia" w:ascii="Times New Roman" w:hAnsi="Times New Roman" w:eastAsia="仿宋_GB2312" w:cs="仿宋_GB2312"/>
          <w:b/>
          <w:bCs/>
          <w:color w:val="auto"/>
          <w:sz w:val="28"/>
          <w:szCs w:val="28"/>
          <w:lang w:eastAsia="zh-CN"/>
        </w:rPr>
        <w:t>完成师训管理员培训83人次（</w:t>
      </w:r>
      <w:r>
        <w:rPr>
          <w:rFonts w:hint="eastAsia" w:ascii="Times New Roman" w:hAnsi="Times New Roman" w:eastAsia="仿宋_GB2312" w:cs="仿宋_GB2312"/>
          <w:b/>
          <w:bCs/>
          <w:color w:val="auto"/>
          <w:sz w:val="28"/>
          <w:szCs w:val="28"/>
          <w:lang w:val="en-US" w:eastAsia="zh-CN"/>
        </w:rPr>
        <w:t>2分</w:t>
      </w:r>
      <w:r>
        <w:rPr>
          <w:rFonts w:hint="eastAsia" w:ascii="Times New Roman" w:hAnsi="Times New Roman" w:eastAsia="仿宋_GB2312" w:cs="仿宋_GB2312"/>
          <w:b/>
          <w:bCs/>
          <w:color w:val="auto"/>
          <w:sz w:val="28"/>
          <w:szCs w:val="28"/>
          <w:lang w:eastAsia="zh-CN"/>
        </w:rPr>
        <w:t>）</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val="en-US" w:eastAsia="zh-CN"/>
        </w:rPr>
      </w:pPr>
      <w:r>
        <w:rPr>
          <w:rFonts w:hint="eastAsia" w:ascii="Times New Roman" w:hAnsi="Times New Roman" w:eastAsia="仿宋_GB2312" w:cs="仿宋_GB2312"/>
          <w:color w:val="auto"/>
          <w:sz w:val="28"/>
          <w:szCs w:val="28"/>
        </w:rPr>
        <w:t>依据</w:t>
      </w:r>
      <w:r>
        <w:rPr>
          <w:rFonts w:hint="eastAsia" w:ascii="Times New Roman" w:hAnsi="Times New Roman" w:eastAsia="仿宋_GB2312" w:cs="仿宋_GB2312"/>
          <w:color w:val="auto"/>
          <w:sz w:val="28"/>
          <w:szCs w:val="28"/>
          <w:lang w:val="en-US" w:eastAsia="zh-CN"/>
        </w:rPr>
        <w:t>项目预期实现目标设立此项指标</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color w:val="auto"/>
          <w:sz w:val="28"/>
          <w:szCs w:val="28"/>
          <w:lang w:val="en-US" w:eastAsia="zh-CN"/>
        </w:rPr>
        <w:t>核查项目业务资料</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教育系统师资培训费项目</w:t>
      </w:r>
      <w:r>
        <w:rPr>
          <w:rFonts w:hint="eastAsia" w:ascii="Times New Roman" w:hAnsi="Times New Roman" w:eastAsia="仿宋_GB2312" w:cs="仿宋_GB2312"/>
          <w:color w:val="auto"/>
          <w:sz w:val="28"/>
          <w:szCs w:val="28"/>
          <w:lang w:val="en-US" w:eastAsia="zh-CN"/>
        </w:rPr>
        <w:t>计划完成师训管理员培训83人次，实际完成师训管理员培训83人次，完成率100.00%。</w:t>
      </w:r>
      <w:r>
        <w:rPr>
          <w:rFonts w:hint="eastAsia" w:ascii="Times New Roman" w:hAnsi="Times New Roman" w:eastAsia="仿宋_GB2312" w:cs="仿宋_GB2312"/>
          <w:color w:val="auto"/>
          <w:sz w:val="28"/>
          <w:szCs w:val="28"/>
        </w:rPr>
        <w:t>根据评分标准，该指标得</w:t>
      </w:r>
      <w:r>
        <w:rPr>
          <w:rFonts w:hint="eastAsia" w:ascii="Times New Roman" w:hAnsi="Times New Roman" w:eastAsia="仿宋_GB2312" w:cs="仿宋_GB2312"/>
          <w:color w:val="auto"/>
          <w:sz w:val="28"/>
          <w:szCs w:val="28"/>
          <w:lang w:val="en-US" w:eastAsia="zh-CN"/>
        </w:rPr>
        <w:t>2.00分。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2" w:firstLineChars="200"/>
        <w:textAlignment w:val="auto"/>
        <w:rPr>
          <w:rFonts w:hint="eastAsia" w:ascii="Times New Roman" w:hAnsi="Times New Roman" w:eastAsia="仿宋_GB2312" w:cs="仿宋_GB2312"/>
          <w:b/>
          <w:bCs/>
          <w:color w:val="auto"/>
          <w:sz w:val="28"/>
          <w:szCs w:val="28"/>
          <w:lang w:eastAsia="zh-CN"/>
        </w:rPr>
      </w:pPr>
      <w:r>
        <w:rPr>
          <w:rFonts w:hint="eastAsia" w:ascii="Times New Roman" w:hAnsi="Times New Roman" w:eastAsia="仿宋_GB2312" w:cs="仿宋_GB2312"/>
          <w:b/>
          <w:bCs/>
          <w:color w:val="auto"/>
          <w:sz w:val="28"/>
          <w:szCs w:val="28"/>
          <w:lang w:eastAsia="zh-CN"/>
        </w:rPr>
        <w:t>完成责任督学年度培训66人次（</w:t>
      </w:r>
      <w:r>
        <w:rPr>
          <w:rFonts w:hint="eastAsia" w:ascii="Times New Roman" w:hAnsi="Times New Roman" w:eastAsia="仿宋_GB2312" w:cs="仿宋_GB2312"/>
          <w:b/>
          <w:bCs/>
          <w:color w:val="auto"/>
          <w:sz w:val="28"/>
          <w:szCs w:val="28"/>
          <w:lang w:val="en-US" w:eastAsia="zh-CN"/>
        </w:rPr>
        <w:t>2分</w:t>
      </w:r>
      <w:r>
        <w:rPr>
          <w:rFonts w:hint="eastAsia" w:ascii="Times New Roman" w:hAnsi="Times New Roman" w:eastAsia="仿宋_GB2312" w:cs="仿宋_GB2312"/>
          <w:b/>
          <w:bCs/>
          <w:color w:val="auto"/>
          <w:sz w:val="28"/>
          <w:szCs w:val="28"/>
          <w:lang w:eastAsia="zh-CN"/>
        </w:rPr>
        <w:t>）</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val="en-US" w:eastAsia="zh-CN"/>
        </w:rPr>
      </w:pPr>
      <w:r>
        <w:rPr>
          <w:rFonts w:hint="eastAsia" w:ascii="Times New Roman" w:hAnsi="Times New Roman" w:eastAsia="仿宋_GB2312" w:cs="仿宋_GB2312"/>
          <w:color w:val="auto"/>
          <w:sz w:val="28"/>
          <w:szCs w:val="28"/>
        </w:rPr>
        <w:t>依据</w:t>
      </w:r>
      <w:r>
        <w:rPr>
          <w:rFonts w:hint="eastAsia" w:ascii="Times New Roman" w:hAnsi="Times New Roman" w:eastAsia="仿宋_GB2312" w:cs="仿宋_GB2312"/>
          <w:color w:val="auto"/>
          <w:sz w:val="28"/>
          <w:szCs w:val="28"/>
          <w:lang w:val="en-US" w:eastAsia="zh-CN"/>
        </w:rPr>
        <w:t>项目预期实现目标设立此项指标</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color w:val="auto"/>
          <w:sz w:val="28"/>
          <w:szCs w:val="28"/>
          <w:lang w:val="en-US" w:eastAsia="zh-CN"/>
        </w:rPr>
        <w:t>核查项目业务资料</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教育系统师资培训费项目</w:t>
      </w:r>
      <w:r>
        <w:rPr>
          <w:rFonts w:hint="eastAsia" w:ascii="Times New Roman" w:hAnsi="Times New Roman" w:eastAsia="仿宋_GB2312" w:cs="仿宋_GB2312"/>
          <w:color w:val="auto"/>
          <w:sz w:val="28"/>
          <w:szCs w:val="28"/>
          <w:lang w:val="en-US" w:eastAsia="zh-CN"/>
        </w:rPr>
        <w:t>计划完成责任督学年度培训66人次，实际完成责任督学年度培训66人次，完成率100.00%。</w:t>
      </w:r>
      <w:r>
        <w:rPr>
          <w:rFonts w:hint="eastAsia" w:ascii="Times New Roman" w:hAnsi="Times New Roman" w:eastAsia="仿宋_GB2312" w:cs="仿宋_GB2312"/>
          <w:color w:val="auto"/>
          <w:sz w:val="28"/>
          <w:szCs w:val="28"/>
        </w:rPr>
        <w:t>根据评分标准，该指标得</w:t>
      </w:r>
      <w:r>
        <w:rPr>
          <w:rFonts w:hint="eastAsia" w:ascii="Times New Roman" w:hAnsi="Times New Roman" w:eastAsia="仿宋_GB2312" w:cs="仿宋_GB2312"/>
          <w:color w:val="auto"/>
          <w:sz w:val="28"/>
          <w:szCs w:val="28"/>
          <w:lang w:val="en-US" w:eastAsia="zh-CN"/>
        </w:rPr>
        <w:t>2.00分。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2" w:firstLineChars="200"/>
        <w:textAlignment w:val="auto"/>
        <w:rPr>
          <w:rFonts w:hint="eastAsia" w:ascii="Times New Roman" w:hAnsi="Times New Roman" w:eastAsia="仿宋_GB2312" w:cs="仿宋_GB2312"/>
          <w:b/>
          <w:bCs/>
          <w:color w:val="auto"/>
          <w:sz w:val="28"/>
          <w:szCs w:val="28"/>
          <w:lang w:eastAsia="zh-CN"/>
        </w:rPr>
      </w:pPr>
      <w:r>
        <w:rPr>
          <w:rFonts w:hint="eastAsia" w:ascii="Times New Roman" w:hAnsi="Times New Roman" w:eastAsia="仿宋_GB2312" w:cs="仿宋_GB2312"/>
          <w:b/>
          <w:bCs/>
          <w:color w:val="auto"/>
          <w:sz w:val="28"/>
          <w:szCs w:val="28"/>
          <w:lang w:eastAsia="zh-CN"/>
        </w:rPr>
        <w:t>完成心理健康素养培训138人次（</w:t>
      </w:r>
      <w:r>
        <w:rPr>
          <w:rFonts w:hint="eastAsia" w:ascii="Times New Roman" w:hAnsi="Times New Roman" w:eastAsia="仿宋_GB2312" w:cs="仿宋_GB2312"/>
          <w:b/>
          <w:bCs/>
          <w:color w:val="auto"/>
          <w:sz w:val="28"/>
          <w:szCs w:val="28"/>
          <w:lang w:val="en-US" w:eastAsia="zh-CN"/>
        </w:rPr>
        <w:t>3分</w:t>
      </w:r>
      <w:r>
        <w:rPr>
          <w:rFonts w:hint="eastAsia" w:ascii="Times New Roman" w:hAnsi="Times New Roman" w:eastAsia="仿宋_GB2312" w:cs="仿宋_GB2312"/>
          <w:b/>
          <w:bCs/>
          <w:color w:val="auto"/>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b w:val="0"/>
          <w:bCs w:val="0"/>
          <w:lang w:val="en-US" w:eastAsia="zh-CN"/>
        </w:rPr>
      </w:pPr>
      <w:r>
        <w:rPr>
          <w:rFonts w:hint="eastAsia" w:ascii="Times New Roman" w:hAnsi="Times New Roman" w:eastAsia="仿宋_GB2312" w:cs="仿宋_GB2312"/>
          <w:b w:val="0"/>
          <w:bCs w:val="0"/>
          <w:color w:val="auto"/>
          <w:sz w:val="28"/>
          <w:szCs w:val="28"/>
        </w:rPr>
        <w:t>依据</w:t>
      </w:r>
      <w:r>
        <w:rPr>
          <w:rFonts w:hint="eastAsia" w:ascii="Times New Roman" w:hAnsi="Times New Roman" w:eastAsia="仿宋_GB2312" w:cs="仿宋_GB2312"/>
          <w:b w:val="0"/>
          <w:bCs w:val="0"/>
          <w:color w:val="auto"/>
          <w:sz w:val="28"/>
          <w:szCs w:val="28"/>
          <w:lang w:val="en-US" w:eastAsia="zh-CN"/>
        </w:rPr>
        <w:t>项目预期实现目标设立此项指标</w:t>
      </w:r>
      <w:r>
        <w:rPr>
          <w:rFonts w:hint="eastAsia" w:ascii="Times New Roman" w:hAnsi="Times New Roman" w:eastAsia="仿宋_GB2312" w:cs="仿宋_GB2312"/>
          <w:b w:val="0"/>
          <w:bCs w:val="0"/>
          <w:color w:val="auto"/>
          <w:sz w:val="28"/>
          <w:szCs w:val="28"/>
        </w:rPr>
        <w:t>；</w:t>
      </w:r>
      <w:r>
        <w:rPr>
          <w:rFonts w:hint="eastAsia" w:ascii="Times New Roman" w:hAnsi="Times New Roman" w:eastAsia="仿宋_GB2312" w:cs="仿宋_GB2312"/>
          <w:b w:val="0"/>
          <w:bCs w:val="0"/>
          <w:color w:val="auto"/>
          <w:sz w:val="28"/>
          <w:szCs w:val="28"/>
          <w:lang w:eastAsia="zh-CN"/>
        </w:rPr>
        <w:t>通过</w:t>
      </w:r>
      <w:r>
        <w:rPr>
          <w:rFonts w:hint="eastAsia" w:ascii="Times New Roman" w:hAnsi="Times New Roman" w:eastAsia="仿宋_GB2312" w:cs="仿宋_GB2312"/>
          <w:b w:val="0"/>
          <w:bCs w:val="0"/>
          <w:color w:val="auto"/>
          <w:sz w:val="28"/>
          <w:szCs w:val="28"/>
          <w:lang w:val="en-US" w:eastAsia="zh-CN"/>
        </w:rPr>
        <w:t>核查项目业务资料</w:t>
      </w:r>
      <w:r>
        <w:rPr>
          <w:rFonts w:hint="eastAsia" w:ascii="Times New Roman" w:hAnsi="Times New Roman" w:eastAsia="仿宋_GB2312" w:cs="仿宋_GB2312"/>
          <w:b w:val="0"/>
          <w:bCs w:val="0"/>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教育系统师资培训费项目</w:t>
      </w:r>
      <w:r>
        <w:rPr>
          <w:rFonts w:hint="eastAsia" w:ascii="Times New Roman" w:hAnsi="Times New Roman" w:eastAsia="仿宋_GB2312" w:cs="仿宋_GB2312"/>
          <w:b w:val="0"/>
          <w:bCs w:val="0"/>
          <w:color w:val="auto"/>
          <w:sz w:val="28"/>
          <w:szCs w:val="28"/>
          <w:lang w:val="en-US" w:eastAsia="zh-CN"/>
        </w:rPr>
        <w:t>计划完成心理健康素养培训138人次，实际完成心理健康素养培训138人次，完成率100.00%。</w:t>
      </w:r>
      <w:r>
        <w:rPr>
          <w:rFonts w:hint="eastAsia" w:ascii="Times New Roman" w:hAnsi="Times New Roman" w:eastAsia="仿宋_GB2312" w:cs="仿宋_GB2312"/>
          <w:b w:val="0"/>
          <w:bCs w:val="0"/>
          <w:color w:val="auto"/>
          <w:sz w:val="28"/>
          <w:szCs w:val="28"/>
        </w:rPr>
        <w:t>根据评分标准，该指标得</w:t>
      </w:r>
      <w:r>
        <w:rPr>
          <w:rFonts w:hint="eastAsia" w:ascii="Times New Roman" w:hAnsi="Times New Roman" w:eastAsia="仿宋_GB2312" w:cs="仿宋_GB2312"/>
          <w:b w:val="0"/>
          <w:bCs w:val="0"/>
          <w:color w:val="auto"/>
          <w:sz w:val="28"/>
          <w:szCs w:val="28"/>
          <w:lang w:val="en-US" w:eastAsia="zh-CN"/>
        </w:rPr>
        <w:t>3.00分。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50" w:name="_Toc24252"/>
      <w:bookmarkStart w:id="151" w:name="_Toc23390"/>
      <w:bookmarkStart w:id="152" w:name="_Toc15120"/>
      <w:bookmarkStart w:id="153" w:name="_Toc31842"/>
      <w:bookmarkStart w:id="154" w:name="_Toc5100"/>
      <w:bookmarkStart w:id="155" w:name="_Toc11853"/>
      <w:r>
        <w:rPr>
          <w:rFonts w:ascii="Times New Roman" w:hAnsi="Times New Roman" w:eastAsia="仿宋_GB2312" w:cs="Times New Roman"/>
          <w:color w:val="auto"/>
        </w:rPr>
        <w:t>2</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产出质量（</w:t>
      </w:r>
      <w:r>
        <w:rPr>
          <w:rFonts w:hint="eastAsia" w:ascii="Times New Roman" w:hAnsi="Times New Roman" w:eastAsia="仿宋_GB2312" w:cs="Times New Roman"/>
          <w:color w:val="auto"/>
          <w:lang w:val="en-US" w:eastAsia="zh-CN"/>
        </w:rPr>
        <w:t>7</w:t>
      </w:r>
      <w:r>
        <w:rPr>
          <w:rFonts w:hint="eastAsia" w:ascii="Times New Roman" w:hAnsi="Times New Roman" w:eastAsia="仿宋_GB2312" w:cs="仿宋_GB2312"/>
          <w:color w:val="auto"/>
        </w:rPr>
        <w:t>分）</w:t>
      </w:r>
      <w:bookmarkEnd w:id="150"/>
      <w:bookmarkEnd w:id="151"/>
      <w:bookmarkEnd w:id="152"/>
      <w:bookmarkEnd w:id="153"/>
      <w:bookmarkEnd w:id="154"/>
      <w:bookmarkEnd w:id="155"/>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）培训</w:t>
      </w:r>
      <w:r>
        <w:rPr>
          <w:rFonts w:hint="eastAsia" w:ascii="Times New Roman" w:hAnsi="Times New Roman" w:eastAsia="仿宋_GB2312" w:cs="仿宋_GB2312"/>
          <w:b/>
          <w:bCs/>
          <w:color w:val="auto"/>
          <w:sz w:val="28"/>
          <w:szCs w:val="28"/>
          <w:lang w:val="en-US" w:eastAsia="zh-CN"/>
        </w:rPr>
        <w:t>人员</w:t>
      </w:r>
      <w:r>
        <w:rPr>
          <w:rFonts w:hint="eastAsia" w:ascii="Times New Roman" w:hAnsi="Times New Roman" w:eastAsia="仿宋_GB2312" w:cs="仿宋_GB2312"/>
          <w:b/>
          <w:bCs/>
          <w:color w:val="auto"/>
          <w:sz w:val="28"/>
          <w:szCs w:val="28"/>
        </w:rPr>
        <w:t>参</w:t>
      </w:r>
      <w:r>
        <w:rPr>
          <w:rFonts w:hint="eastAsia" w:ascii="Times New Roman" w:hAnsi="Times New Roman" w:eastAsia="仿宋_GB2312" w:cs="仿宋_GB2312"/>
          <w:b/>
          <w:bCs/>
          <w:color w:val="auto"/>
          <w:sz w:val="28"/>
          <w:szCs w:val="28"/>
          <w:lang w:val="en-US" w:eastAsia="zh-CN"/>
        </w:rPr>
        <w:t>与</w:t>
      </w:r>
      <w:r>
        <w:rPr>
          <w:rFonts w:hint="eastAsia" w:ascii="Times New Roman" w:hAnsi="Times New Roman" w:eastAsia="仿宋_GB2312" w:cs="仿宋_GB2312"/>
          <w:b/>
          <w:bCs/>
          <w:color w:val="auto"/>
          <w:sz w:val="28"/>
          <w:szCs w:val="28"/>
        </w:rPr>
        <w:t>率（</w:t>
      </w:r>
      <w:r>
        <w:rPr>
          <w:rFonts w:hint="eastAsia" w:ascii="Times New Roman" w:hAnsi="Times New Roman" w:eastAsia="仿宋_GB2312" w:cs="仿宋_GB2312"/>
          <w:b/>
          <w:bCs/>
          <w:color w:val="auto"/>
          <w:sz w:val="28"/>
          <w:szCs w:val="28"/>
          <w:lang w:val="en-US" w:eastAsia="zh-CN"/>
        </w:rPr>
        <w:t>4</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color w:val="auto"/>
          <w:sz w:val="28"/>
          <w:szCs w:val="28"/>
          <w:lang w:val="en-US" w:eastAsia="zh-CN"/>
        </w:rPr>
      </w:pPr>
      <w:r>
        <w:rPr>
          <w:rFonts w:hint="eastAsia" w:ascii="Times New Roman" w:hAnsi="Times New Roman" w:eastAsia="仿宋_GB2312" w:cs="仿宋_GB2312"/>
          <w:color w:val="auto"/>
          <w:sz w:val="28"/>
          <w:szCs w:val="28"/>
          <w:highlight w:val="none"/>
          <w:lang w:eastAsia="zh-CN"/>
        </w:rPr>
        <w:t>为了解</w:t>
      </w:r>
      <w:r>
        <w:rPr>
          <w:rFonts w:hint="eastAsia" w:ascii="Times New Roman" w:hAnsi="Times New Roman" w:eastAsia="仿宋_GB2312" w:cs="仿宋_GB2312"/>
          <w:b w:val="0"/>
          <w:bCs w:val="0"/>
          <w:color w:val="auto"/>
          <w:kern w:val="2"/>
          <w:sz w:val="28"/>
          <w:szCs w:val="28"/>
          <w:lang w:val="en-US" w:eastAsia="zh-CN" w:bidi="ar-SA"/>
        </w:rPr>
        <w:t>教育系统师资培训费项目</w:t>
      </w:r>
      <w:r>
        <w:rPr>
          <w:rFonts w:hint="eastAsia" w:ascii="Times New Roman" w:hAnsi="Times New Roman" w:eastAsia="仿宋_GB2312" w:cs="仿宋_GB2312"/>
          <w:color w:val="auto"/>
          <w:sz w:val="28"/>
          <w:szCs w:val="28"/>
          <w:highlight w:val="none"/>
          <w:lang w:eastAsia="zh-CN"/>
        </w:rPr>
        <w:t>实施</w:t>
      </w:r>
      <w:r>
        <w:rPr>
          <w:rFonts w:hint="eastAsia" w:ascii="Times New Roman" w:hAnsi="Times New Roman" w:eastAsia="仿宋_GB2312" w:cs="仿宋_GB2312"/>
          <w:color w:val="auto"/>
          <w:sz w:val="28"/>
          <w:szCs w:val="28"/>
          <w:highlight w:val="none"/>
          <w:lang w:val="en-US" w:eastAsia="zh-CN"/>
        </w:rPr>
        <w:t>质量情况</w:t>
      </w:r>
      <w:r>
        <w:rPr>
          <w:rFonts w:hint="eastAsia" w:ascii="Times New Roman" w:hAnsi="Times New Roman" w:eastAsia="仿宋_GB2312" w:cs="仿宋_GB2312"/>
          <w:color w:val="auto"/>
          <w:sz w:val="28"/>
          <w:szCs w:val="28"/>
          <w:highlight w:val="none"/>
          <w:lang w:eastAsia="zh-CN"/>
        </w:rPr>
        <w:t>设立此项指标；</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color w:val="auto"/>
          <w:sz w:val="28"/>
          <w:szCs w:val="28"/>
          <w:lang w:val="en-US" w:eastAsia="zh-CN"/>
        </w:rPr>
        <w:t>核查</w:t>
      </w:r>
      <w:r>
        <w:rPr>
          <w:rFonts w:hint="eastAsia" w:ascii="Times New Roman" w:hAnsi="Times New Roman" w:eastAsia="仿宋_GB2312" w:cs="仿宋_GB2312"/>
          <w:color w:val="auto"/>
          <w:sz w:val="28"/>
          <w:szCs w:val="28"/>
          <w:highlight w:val="none"/>
          <w:lang w:eastAsia="zh-CN"/>
        </w:rPr>
        <w:t>项目业务资料，</w:t>
      </w:r>
      <w:r>
        <w:rPr>
          <w:rFonts w:hint="eastAsia" w:ascii="Times New Roman" w:hAnsi="Times New Roman" w:eastAsia="仿宋_GB2312" w:cs="仿宋_GB2312"/>
          <w:color w:val="auto"/>
          <w:sz w:val="28"/>
          <w:szCs w:val="28"/>
          <w:highlight w:val="none"/>
          <w:lang w:val="en-US" w:eastAsia="zh-CN"/>
        </w:rPr>
        <w:t>各项培训应参训623人，实际参训人数623人，培训参训率100.00%。</w:t>
      </w:r>
      <w:r>
        <w:rPr>
          <w:rFonts w:hint="eastAsia" w:ascii="Times New Roman" w:hAnsi="Times New Roman" w:eastAsia="仿宋_GB2312" w:cs="仿宋_GB2312"/>
          <w:b w:val="0"/>
          <w:bCs w:val="0"/>
          <w:color w:val="auto"/>
          <w:kern w:val="2"/>
          <w:sz w:val="28"/>
          <w:szCs w:val="28"/>
          <w:lang w:val="en-US" w:eastAsia="zh-CN" w:bidi="ar-SA"/>
        </w:rPr>
        <w:t>根据评分标准，该</w:t>
      </w:r>
      <w:r>
        <w:rPr>
          <w:rFonts w:hint="eastAsia" w:ascii="Times New Roman" w:hAnsi="Times New Roman" w:eastAsia="仿宋_GB2312" w:cs="仿宋_GB2312"/>
          <w:b w:val="0"/>
          <w:bCs w:val="0"/>
          <w:color w:val="auto"/>
          <w:kern w:val="2"/>
          <w:sz w:val="28"/>
          <w:szCs w:val="28"/>
          <w:highlight w:val="none"/>
          <w:lang w:val="en-US" w:eastAsia="zh-CN" w:bidi="ar-SA"/>
        </w:rPr>
        <w:t>指标得4</w:t>
      </w:r>
      <w:r>
        <w:rPr>
          <w:rFonts w:hint="eastAsia" w:ascii="Times New Roman" w:hAnsi="Times New Roman" w:eastAsia="仿宋_GB2312" w:cs="仿宋_GB2312"/>
          <w:b w:val="0"/>
          <w:bCs w:val="0"/>
          <w:color w:val="auto"/>
          <w:kern w:val="2"/>
          <w:sz w:val="28"/>
          <w:szCs w:val="28"/>
          <w:lang w:val="en-US" w:eastAsia="zh-CN" w:bidi="ar-SA"/>
        </w:rPr>
        <w:t>.00分。</w:t>
      </w:r>
    </w:p>
    <w:p>
      <w:pPr>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Times New Roman" w:hAnsi="Times New Roman" w:eastAsia="仿宋_GB2312" w:cs="仿宋_GB2312"/>
          <w:b/>
          <w:bCs/>
          <w:color w:val="auto"/>
          <w:sz w:val="28"/>
          <w:szCs w:val="28"/>
          <w:lang w:val="en-US" w:eastAsia="zh-CN"/>
        </w:rPr>
      </w:pPr>
      <w:r>
        <w:rPr>
          <w:rFonts w:hint="eastAsia" w:ascii="Times New Roman" w:hAnsi="Times New Roman" w:eastAsia="仿宋_GB2312" w:cs="仿宋_GB2312"/>
          <w:b/>
          <w:bCs/>
          <w:color w:val="auto"/>
          <w:sz w:val="28"/>
          <w:szCs w:val="28"/>
          <w:lang w:val="en-US" w:eastAsia="zh-CN"/>
        </w:rPr>
        <w:t>（2）</w:t>
      </w:r>
      <w:r>
        <w:rPr>
          <w:rFonts w:hint="default" w:ascii="Times New Roman" w:hAnsi="Times New Roman" w:eastAsia="仿宋_GB2312" w:cs="仿宋_GB2312"/>
          <w:b/>
          <w:bCs/>
          <w:color w:val="auto"/>
          <w:sz w:val="28"/>
          <w:szCs w:val="28"/>
          <w:lang w:val="en-US" w:eastAsia="zh-CN"/>
        </w:rPr>
        <w:t>培训</w:t>
      </w:r>
      <w:r>
        <w:rPr>
          <w:rFonts w:hint="eastAsia" w:ascii="Times New Roman" w:hAnsi="Times New Roman" w:eastAsia="仿宋_GB2312" w:cs="仿宋_GB2312"/>
          <w:b/>
          <w:bCs/>
          <w:color w:val="auto"/>
          <w:sz w:val="28"/>
          <w:szCs w:val="28"/>
          <w:lang w:val="en-US" w:eastAsia="zh-CN"/>
        </w:rPr>
        <w:t>人员</w:t>
      </w:r>
      <w:r>
        <w:rPr>
          <w:rFonts w:hint="default" w:ascii="Times New Roman" w:hAnsi="Times New Roman" w:eastAsia="仿宋_GB2312" w:cs="仿宋_GB2312"/>
          <w:b/>
          <w:bCs/>
          <w:color w:val="auto"/>
          <w:sz w:val="28"/>
          <w:szCs w:val="28"/>
          <w:lang w:val="en-US" w:eastAsia="zh-CN"/>
        </w:rPr>
        <w:t>合格率</w:t>
      </w:r>
      <w:r>
        <w:rPr>
          <w:rFonts w:hint="eastAsia" w:ascii="Times New Roman" w:hAnsi="Times New Roman" w:eastAsia="仿宋_GB2312" w:cs="仿宋_GB2312"/>
          <w:b/>
          <w:bCs/>
          <w:color w:val="auto"/>
          <w:sz w:val="28"/>
          <w:szCs w:val="28"/>
          <w:lang w:val="en-US" w:eastAsia="zh-CN"/>
        </w:rPr>
        <w:t>（3分）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eastAsia" w:ascii="Times New Roman" w:hAnsi="Times New Roman" w:eastAsia="仿宋_GB2312" w:cs="仿宋_GB2312"/>
          <w:color w:val="auto"/>
          <w:sz w:val="28"/>
          <w:szCs w:val="28"/>
          <w:highlight w:val="none"/>
          <w:lang w:eastAsia="zh-CN"/>
        </w:rPr>
        <w:t>为了解</w:t>
      </w:r>
      <w:r>
        <w:rPr>
          <w:rFonts w:hint="eastAsia" w:ascii="Times New Roman" w:hAnsi="Times New Roman" w:eastAsia="仿宋_GB2312" w:cs="仿宋_GB2312"/>
          <w:b w:val="0"/>
          <w:bCs w:val="0"/>
          <w:color w:val="auto"/>
          <w:kern w:val="2"/>
          <w:sz w:val="28"/>
          <w:szCs w:val="28"/>
          <w:lang w:val="en-US" w:eastAsia="zh-CN" w:bidi="ar-SA"/>
        </w:rPr>
        <w:t>教育系统师资培训费项目</w:t>
      </w:r>
      <w:r>
        <w:rPr>
          <w:rFonts w:hint="eastAsia" w:ascii="Times New Roman" w:hAnsi="Times New Roman" w:eastAsia="仿宋_GB2312" w:cs="仿宋_GB2312"/>
          <w:color w:val="auto"/>
          <w:sz w:val="28"/>
          <w:szCs w:val="28"/>
          <w:highlight w:val="none"/>
          <w:lang w:eastAsia="zh-CN"/>
        </w:rPr>
        <w:t>实施</w:t>
      </w:r>
      <w:r>
        <w:rPr>
          <w:rFonts w:hint="eastAsia" w:ascii="Times New Roman" w:hAnsi="Times New Roman" w:eastAsia="仿宋_GB2312" w:cs="仿宋_GB2312"/>
          <w:color w:val="auto"/>
          <w:sz w:val="28"/>
          <w:szCs w:val="28"/>
          <w:highlight w:val="none"/>
          <w:lang w:val="en-US" w:eastAsia="zh-CN"/>
        </w:rPr>
        <w:t>质量情况</w:t>
      </w:r>
      <w:r>
        <w:rPr>
          <w:rFonts w:hint="eastAsia" w:ascii="Times New Roman" w:hAnsi="Times New Roman" w:eastAsia="仿宋_GB2312" w:cs="仿宋_GB2312"/>
          <w:color w:val="auto"/>
          <w:sz w:val="28"/>
          <w:szCs w:val="28"/>
          <w:highlight w:val="none"/>
          <w:lang w:eastAsia="zh-CN"/>
        </w:rPr>
        <w:t>设立此项指标；</w:t>
      </w:r>
      <w:r>
        <w:rPr>
          <w:rFonts w:hint="eastAsia" w:ascii="Times New Roman" w:hAnsi="Times New Roman" w:eastAsia="仿宋_GB2312" w:cs="仿宋_GB2312"/>
          <w:color w:val="auto"/>
          <w:sz w:val="28"/>
          <w:szCs w:val="28"/>
          <w:lang w:eastAsia="zh-CN"/>
        </w:rPr>
        <w:t>通过</w:t>
      </w:r>
      <w:r>
        <w:rPr>
          <w:rFonts w:hint="eastAsia" w:ascii="Times New Roman" w:hAnsi="Times New Roman" w:eastAsia="仿宋_GB2312" w:cs="仿宋_GB2312"/>
          <w:color w:val="auto"/>
          <w:sz w:val="28"/>
          <w:szCs w:val="28"/>
          <w:highlight w:val="none"/>
          <w:lang w:val="en-US" w:eastAsia="zh-CN"/>
        </w:rPr>
        <w:t>核查</w:t>
      </w:r>
      <w:r>
        <w:rPr>
          <w:rFonts w:hint="eastAsia" w:ascii="Times New Roman" w:hAnsi="Times New Roman" w:eastAsia="仿宋_GB2312" w:cs="仿宋_GB2312"/>
          <w:color w:val="auto"/>
          <w:sz w:val="28"/>
          <w:szCs w:val="28"/>
          <w:highlight w:val="none"/>
          <w:lang w:eastAsia="zh-CN"/>
        </w:rPr>
        <w:t>项目业务资料，</w:t>
      </w:r>
      <w:r>
        <w:rPr>
          <w:rFonts w:hint="eastAsia" w:ascii="Times New Roman" w:hAnsi="Times New Roman" w:eastAsia="仿宋_GB2312" w:cs="仿宋_GB2312"/>
          <w:color w:val="auto"/>
          <w:sz w:val="28"/>
          <w:szCs w:val="28"/>
          <w:highlight w:val="none"/>
          <w:lang w:val="en-US" w:eastAsia="zh-CN"/>
        </w:rPr>
        <w:t>各项培训参与考核人数623人，合格人数623人，培训考核合格率为100.00%。</w:t>
      </w:r>
      <w:r>
        <w:rPr>
          <w:rFonts w:hint="eastAsia" w:ascii="Times New Roman" w:hAnsi="Times New Roman" w:eastAsia="仿宋_GB2312" w:cs="仿宋_GB2312"/>
          <w:b w:val="0"/>
          <w:bCs w:val="0"/>
          <w:color w:val="auto"/>
          <w:kern w:val="2"/>
          <w:sz w:val="28"/>
          <w:szCs w:val="28"/>
          <w:lang w:val="en-US" w:eastAsia="zh-CN" w:bidi="ar-SA"/>
        </w:rPr>
        <w:t>根据评分标准，该</w:t>
      </w:r>
      <w:r>
        <w:rPr>
          <w:rFonts w:hint="eastAsia" w:ascii="Times New Roman" w:hAnsi="Times New Roman" w:eastAsia="仿宋_GB2312" w:cs="仿宋_GB2312"/>
          <w:b w:val="0"/>
          <w:bCs w:val="0"/>
          <w:color w:val="auto"/>
          <w:kern w:val="2"/>
          <w:sz w:val="28"/>
          <w:szCs w:val="28"/>
          <w:highlight w:val="none"/>
          <w:lang w:val="en-US" w:eastAsia="zh-CN" w:bidi="ar-SA"/>
        </w:rPr>
        <w:t>指标得</w:t>
      </w:r>
      <w:r>
        <w:rPr>
          <w:rFonts w:hint="eastAsia" w:ascii="Times New Roman" w:hAnsi="Times New Roman" w:eastAsia="仿宋_GB2312" w:cs="仿宋_GB2312"/>
          <w:b w:val="0"/>
          <w:bCs w:val="0"/>
          <w:color w:val="auto"/>
          <w:kern w:val="2"/>
          <w:sz w:val="28"/>
          <w:szCs w:val="28"/>
          <w:lang w:val="en-US" w:eastAsia="zh-CN" w:bidi="ar-SA"/>
        </w:rPr>
        <w:t>3.00分。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56" w:name="_Toc31737"/>
      <w:bookmarkStart w:id="157" w:name="_Toc5857"/>
      <w:bookmarkStart w:id="158" w:name="_Toc24547"/>
      <w:bookmarkStart w:id="159" w:name="_Toc27849"/>
      <w:bookmarkStart w:id="160" w:name="_Toc28686"/>
      <w:bookmarkStart w:id="161" w:name="_Toc30085"/>
      <w:r>
        <w:rPr>
          <w:rFonts w:ascii="Times New Roman" w:hAnsi="Times New Roman" w:eastAsia="仿宋_GB2312" w:cs="Times New Roman"/>
          <w:color w:val="auto"/>
        </w:rPr>
        <w:t>3</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产出时效（</w:t>
      </w:r>
      <w:r>
        <w:rPr>
          <w:rFonts w:hint="eastAsia" w:ascii="Times New Roman" w:hAnsi="Times New Roman" w:eastAsia="仿宋_GB2312" w:cs="仿宋_GB2312"/>
          <w:color w:val="auto"/>
          <w:lang w:val="en-US" w:eastAsia="zh-CN"/>
        </w:rPr>
        <w:t>6</w:t>
      </w:r>
      <w:r>
        <w:rPr>
          <w:rFonts w:hint="eastAsia" w:ascii="Times New Roman" w:hAnsi="Times New Roman" w:eastAsia="仿宋_GB2312" w:cs="仿宋_GB2312"/>
          <w:color w:val="auto"/>
        </w:rPr>
        <w:t>分）</w:t>
      </w:r>
      <w:bookmarkEnd w:id="156"/>
      <w:bookmarkEnd w:id="157"/>
      <w:bookmarkEnd w:id="158"/>
      <w:bookmarkEnd w:id="159"/>
      <w:bookmarkEnd w:id="160"/>
      <w:bookmarkEnd w:id="161"/>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）各项培训计划按期完成率（</w:t>
      </w:r>
      <w:r>
        <w:rPr>
          <w:rFonts w:hint="eastAsia" w:ascii="Times New Roman" w:hAnsi="Times New Roman" w:eastAsia="仿宋_GB2312" w:cs="仿宋_GB2312"/>
          <w:b/>
          <w:bCs/>
          <w:color w:val="auto"/>
          <w:sz w:val="28"/>
          <w:szCs w:val="28"/>
          <w:lang w:val="en-US" w:eastAsia="zh-CN"/>
        </w:rPr>
        <w:t>6</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lang w:eastAsia="zh-CN"/>
        </w:rPr>
      </w:pPr>
      <w:r>
        <w:rPr>
          <w:rFonts w:hint="eastAsia" w:ascii="Times New Roman" w:hAnsi="Times New Roman" w:eastAsia="仿宋_GB2312" w:cs="仿宋_GB2312"/>
          <w:color w:val="auto"/>
          <w:sz w:val="28"/>
          <w:szCs w:val="28"/>
          <w:lang w:eastAsia="zh-CN"/>
        </w:rPr>
        <w:t>依据《项目支出绩效评价管理办法》（财预〔2020〕10号）“项目实际完成时间与计划完成时间的比较”以及为保证项目实施成效设立此指标；</w:t>
      </w:r>
      <w:r>
        <w:rPr>
          <w:rFonts w:hint="eastAsia" w:ascii="Times New Roman" w:hAnsi="Times New Roman" w:eastAsia="仿宋_GB2312" w:cs="仿宋_GB2312"/>
          <w:b w:val="0"/>
          <w:bCs w:val="0"/>
          <w:color w:val="auto"/>
          <w:kern w:val="2"/>
          <w:sz w:val="28"/>
          <w:szCs w:val="28"/>
          <w:highlight w:val="none"/>
          <w:lang w:val="en-US" w:eastAsia="zh-CN" w:bidi="ar-SA"/>
        </w:rPr>
        <w:t>通过核查项目业务</w:t>
      </w:r>
      <w:r>
        <w:rPr>
          <w:rFonts w:hint="eastAsia" w:ascii="Times New Roman" w:hAnsi="Times New Roman" w:eastAsia="仿宋_GB2312" w:cs="仿宋_GB2312"/>
          <w:b w:val="0"/>
          <w:bCs w:val="0"/>
          <w:color w:val="auto"/>
          <w:kern w:val="2"/>
          <w:sz w:val="28"/>
          <w:szCs w:val="28"/>
          <w:lang w:val="en-US" w:eastAsia="zh-CN" w:bidi="ar-SA"/>
        </w:rPr>
        <w:t>资料，</w:t>
      </w:r>
      <w:r>
        <w:rPr>
          <w:rFonts w:hint="eastAsia" w:ascii="Times New Roman" w:hAnsi="Times New Roman" w:eastAsia="仿宋_GB2312" w:cs="仿宋_GB2312"/>
          <w:color w:val="auto"/>
          <w:sz w:val="28"/>
          <w:szCs w:val="28"/>
        </w:rPr>
        <w:t>截</w:t>
      </w:r>
      <w:r>
        <w:rPr>
          <w:rFonts w:hint="eastAsia" w:ascii="Times New Roman" w:hAnsi="Times New Roman" w:eastAsia="仿宋_GB2312" w:cs="仿宋_GB2312"/>
          <w:color w:val="auto"/>
          <w:sz w:val="28"/>
          <w:szCs w:val="28"/>
          <w:lang w:val="en-US" w:eastAsia="zh-CN"/>
        </w:rPr>
        <w:t>至2022年12月31日，</w:t>
      </w:r>
      <w:r>
        <w:rPr>
          <w:rFonts w:hint="eastAsia" w:ascii="Times New Roman" w:hAnsi="Times New Roman" w:eastAsia="仿宋_GB2312" w:cs="仿宋_GB2312"/>
          <w:b w:val="0"/>
          <w:bCs w:val="0"/>
          <w:color w:val="auto"/>
          <w:kern w:val="2"/>
          <w:sz w:val="28"/>
          <w:szCs w:val="28"/>
          <w:lang w:val="en-US" w:eastAsia="zh-CN" w:bidi="ar-SA"/>
        </w:rPr>
        <w:t>教育系统师资培训费项目</w:t>
      </w:r>
      <w:r>
        <w:rPr>
          <w:rFonts w:hint="eastAsia" w:ascii="Times New Roman" w:hAnsi="Times New Roman" w:eastAsia="仿宋_GB2312" w:cs="仿宋_GB2312"/>
          <w:color w:val="auto"/>
          <w:sz w:val="28"/>
          <w:szCs w:val="28"/>
          <w:highlight w:val="none"/>
          <w:lang w:val="en-US" w:eastAsia="zh-CN"/>
        </w:rPr>
        <w:t>各项培训均及时完成</w:t>
      </w:r>
      <w:r>
        <w:rPr>
          <w:rFonts w:hint="eastAsia" w:ascii="Times New Roman" w:hAnsi="Times New Roman" w:eastAsia="仿宋_GB2312" w:cs="仿宋_GB2312"/>
          <w:color w:val="auto"/>
          <w:sz w:val="28"/>
          <w:szCs w:val="28"/>
          <w:lang w:val="en-US" w:eastAsia="zh-CN"/>
        </w:rPr>
        <w:t>，各项培训计划按期完成率100.00%</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根据评分标准，该</w:t>
      </w:r>
      <w:r>
        <w:rPr>
          <w:rFonts w:hint="eastAsia" w:ascii="Times New Roman" w:hAnsi="Times New Roman" w:eastAsia="仿宋_GB2312" w:cs="仿宋_GB2312"/>
          <w:b w:val="0"/>
          <w:bCs w:val="0"/>
          <w:color w:val="auto"/>
          <w:kern w:val="2"/>
          <w:sz w:val="28"/>
          <w:szCs w:val="28"/>
          <w:highlight w:val="none"/>
          <w:lang w:val="en-US" w:eastAsia="zh-CN" w:bidi="ar-SA"/>
        </w:rPr>
        <w:t>指标得</w:t>
      </w:r>
      <w:r>
        <w:rPr>
          <w:rFonts w:hint="eastAsia" w:ascii="Times New Roman" w:hAnsi="Times New Roman" w:eastAsia="仿宋_GB2312" w:cs="仿宋_GB2312"/>
          <w:b w:val="0"/>
          <w:bCs w:val="0"/>
          <w:color w:val="auto"/>
          <w:kern w:val="2"/>
          <w:sz w:val="28"/>
          <w:szCs w:val="28"/>
          <w:lang w:val="en-US" w:eastAsia="zh-CN" w:bidi="ar-SA"/>
        </w:rPr>
        <w:t>6.00分。</w:t>
      </w:r>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bookmarkStart w:id="162" w:name="_Toc27950"/>
      <w:bookmarkStart w:id="163" w:name="_Toc23711"/>
      <w:bookmarkStart w:id="164" w:name="_Toc27161"/>
      <w:bookmarkStart w:id="165" w:name="_Toc22201"/>
      <w:bookmarkStart w:id="166" w:name="_Toc25872"/>
      <w:bookmarkStart w:id="167" w:name="_Toc27989"/>
      <w:r>
        <w:rPr>
          <w:rFonts w:hint="eastAsia" w:ascii="Times New Roman" w:hAnsi="Times New Roman" w:eastAsia="仿宋_GB2312" w:cs="Times New Roman"/>
          <w:color w:val="auto"/>
          <w:lang w:val="en-US" w:eastAsia="zh-CN"/>
        </w:rPr>
        <w:t>4</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产出成本（</w:t>
      </w:r>
      <w:r>
        <w:rPr>
          <w:rFonts w:hint="eastAsia" w:ascii="Times New Roman" w:hAnsi="Times New Roman" w:eastAsia="仿宋_GB2312" w:cs="仿宋_GB2312"/>
          <w:color w:val="auto"/>
          <w:lang w:val="en-US" w:eastAsia="zh-CN"/>
        </w:rPr>
        <w:t>6</w:t>
      </w:r>
      <w:r>
        <w:rPr>
          <w:rFonts w:hint="eastAsia" w:ascii="Times New Roman" w:hAnsi="Times New Roman" w:eastAsia="仿宋_GB2312" w:cs="仿宋_GB2312"/>
          <w:color w:val="auto"/>
        </w:rPr>
        <w:t>分）</w:t>
      </w:r>
      <w:bookmarkEnd w:id="162"/>
      <w:bookmarkEnd w:id="163"/>
      <w:bookmarkEnd w:id="164"/>
      <w:bookmarkEnd w:id="165"/>
      <w:bookmarkEnd w:id="166"/>
      <w:bookmarkEnd w:id="167"/>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）成本节约率（</w:t>
      </w:r>
      <w:r>
        <w:rPr>
          <w:rFonts w:hint="eastAsia" w:ascii="Times New Roman" w:hAnsi="Times New Roman" w:eastAsia="仿宋_GB2312" w:cs="仿宋_GB2312"/>
          <w:b/>
          <w:bCs/>
          <w:color w:val="auto"/>
          <w:sz w:val="28"/>
          <w:szCs w:val="28"/>
          <w:lang w:val="en-US" w:eastAsia="zh-CN"/>
        </w:rPr>
        <w:t>6</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FF0000"/>
          <w:sz w:val="28"/>
          <w:szCs w:val="28"/>
          <w:highlight w:val="yellow"/>
          <w:lang w:eastAsia="zh-CN"/>
        </w:rPr>
      </w:pPr>
      <w:r>
        <w:rPr>
          <w:rFonts w:hint="eastAsia" w:ascii="Times New Roman" w:hAnsi="Times New Roman" w:eastAsia="仿宋_GB2312" w:cs="仿宋_GB2312"/>
          <w:color w:val="auto"/>
          <w:sz w:val="28"/>
          <w:szCs w:val="28"/>
          <w:highlight w:val="none"/>
          <w:lang w:eastAsia="zh-CN"/>
        </w:rPr>
        <w:t>为了解</w:t>
      </w:r>
      <w:r>
        <w:rPr>
          <w:rFonts w:hint="eastAsia" w:ascii="Times New Roman" w:hAnsi="Times New Roman" w:eastAsia="仿宋_GB2312" w:cs="仿宋_GB2312"/>
          <w:color w:val="auto"/>
          <w:sz w:val="28"/>
          <w:szCs w:val="28"/>
          <w:highlight w:val="none"/>
          <w:lang w:val="en-US" w:eastAsia="zh-CN"/>
        </w:rPr>
        <w:t>项目各项工作成本控制情况</w:t>
      </w:r>
      <w:r>
        <w:rPr>
          <w:rFonts w:hint="eastAsia" w:ascii="Times New Roman" w:hAnsi="Times New Roman" w:eastAsia="仿宋_GB2312" w:cs="仿宋_GB2312"/>
          <w:color w:val="auto"/>
          <w:sz w:val="28"/>
          <w:szCs w:val="28"/>
          <w:highlight w:val="none"/>
          <w:lang w:eastAsia="zh-CN"/>
        </w:rPr>
        <w:t>以及为保障项目实施成效设立此指标；通过核查项目业务资料和财务资料，</w:t>
      </w:r>
      <w:r>
        <w:rPr>
          <w:rFonts w:hint="eastAsia" w:ascii="Times New Roman" w:hAnsi="Times New Roman" w:eastAsia="仿宋_GB2312" w:cs="仿宋_GB2312"/>
          <w:b w:val="0"/>
          <w:bCs w:val="0"/>
          <w:color w:val="auto"/>
          <w:kern w:val="2"/>
          <w:sz w:val="28"/>
          <w:szCs w:val="28"/>
          <w:lang w:val="en-US" w:eastAsia="zh-CN" w:bidi="ar-SA"/>
        </w:rPr>
        <w:t>教育系统师资培训费项目</w:t>
      </w:r>
      <w:r>
        <w:rPr>
          <w:rFonts w:hint="eastAsia" w:ascii="Times New Roman" w:hAnsi="Times New Roman" w:eastAsia="仿宋_GB2312" w:cs="仿宋_GB2312"/>
          <w:color w:val="auto"/>
          <w:sz w:val="28"/>
          <w:szCs w:val="28"/>
          <w:highlight w:val="none"/>
          <w:lang w:val="en-US" w:eastAsia="zh-CN"/>
        </w:rPr>
        <w:t>预算575.00万元，项目累计发生应拨付资金555.00万元，成本节约率=（575.00万元-555.00万元）/575.00万元*100%=3.48%，未超出“±5%”区间范围</w:t>
      </w:r>
      <w:r>
        <w:rPr>
          <w:rFonts w:hint="eastAsia" w:ascii="Times New Roman" w:hAnsi="Times New Roman" w:eastAsia="仿宋_GB2312" w:cs="仿宋_GB2312"/>
          <w:color w:val="auto"/>
          <w:sz w:val="28"/>
          <w:szCs w:val="28"/>
          <w:highlight w:val="none"/>
          <w:lang w:eastAsia="zh-CN"/>
        </w:rPr>
        <w:t>。</w:t>
      </w:r>
      <w:r>
        <w:rPr>
          <w:rFonts w:hint="eastAsia" w:ascii="Times New Roman" w:hAnsi="Times New Roman" w:eastAsia="仿宋_GB2312" w:cs="仿宋_GB2312"/>
          <w:color w:val="auto"/>
          <w:sz w:val="28"/>
          <w:szCs w:val="28"/>
          <w:highlight w:val="none"/>
          <w:lang w:val="en-US" w:eastAsia="zh-CN"/>
        </w:rPr>
        <w:t>根据评分标准（每超出1%扣0.05分），该指标得6.00分。</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rPr>
      </w:pPr>
      <w:bookmarkStart w:id="168" w:name="_Toc13532"/>
      <w:bookmarkStart w:id="169" w:name="_Toc22629"/>
      <w:bookmarkStart w:id="170" w:name="_Toc4486"/>
      <w:bookmarkStart w:id="171" w:name="_Toc19772"/>
      <w:r>
        <w:rPr>
          <w:rFonts w:hint="eastAsia" w:ascii="Times New Roman" w:hAnsi="Times New Roman" w:eastAsia="楷体_GB2312" w:cs="楷体_GB2312"/>
          <w:color w:val="auto"/>
        </w:rPr>
        <w:t>（四）项目</w:t>
      </w:r>
      <w:r>
        <w:rPr>
          <w:rFonts w:hint="eastAsia" w:ascii="Times New Roman" w:hAnsi="Times New Roman" w:eastAsia="楷体_GB2312" w:cs="楷体_GB2312"/>
          <w:color w:val="auto"/>
          <w:lang w:val="en-US" w:eastAsia="zh-CN"/>
        </w:rPr>
        <w:t>效益情况</w:t>
      </w:r>
      <w:r>
        <w:rPr>
          <w:rFonts w:hint="eastAsia" w:ascii="Times New Roman" w:hAnsi="Times New Roman" w:eastAsia="楷体_GB2312" w:cs="楷体_GB2312"/>
          <w:color w:val="auto"/>
        </w:rPr>
        <w:t>（</w:t>
      </w:r>
      <w:r>
        <w:rPr>
          <w:rFonts w:hint="eastAsia" w:ascii="Times New Roman" w:hAnsi="Times New Roman" w:eastAsia="楷体_GB2312" w:cs="楷体_GB2312"/>
          <w:color w:val="auto"/>
          <w:lang w:val="en-US" w:eastAsia="zh-CN"/>
        </w:rPr>
        <w:t>26</w:t>
      </w:r>
      <w:r>
        <w:rPr>
          <w:rFonts w:hint="eastAsia" w:ascii="Times New Roman" w:hAnsi="Times New Roman" w:eastAsia="楷体_GB2312" w:cs="楷体_GB2312"/>
          <w:color w:val="auto"/>
        </w:rPr>
        <w:t>分）</w:t>
      </w:r>
      <w:bookmarkEnd w:id="168"/>
      <w:bookmarkEnd w:id="169"/>
      <w:bookmarkEnd w:id="170"/>
      <w:bookmarkEnd w:id="171"/>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172" w:name="_Toc13382"/>
      <w:bookmarkStart w:id="173" w:name="_Toc31438"/>
      <w:bookmarkStart w:id="174" w:name="_Toc16377"/>
      <w:bookmarkStart w:id="175" w:name="_Toc29183"/>
      <w:bookmarkStart w:id="176" w:name="_Toc24576"/>
      <w:bookmarkStart w:id="177" w:name="_Toc8445"/>
      <w:r>
        <w:rPr>
          <w:rFonts w:hint="eastAsia" w:ascii="Times New Roman" w:hAnsi="Times New Roman" w:eastAsia="仿宋_GB2312" w:cs="仿宋_GB2312"/>
          <w:color w:val="auto"/>
          <w:lang w:val="en-US" w:eastAsia="zh-CN"/>
        </w:rPr>
        <w:t>1</w:t>
      </w:r>
      <w:r>
        <w:rPr>
          <w:rFonts w:hint="eastAsia" w:ascii="Times New Roman" w:hAnsi="Times New Roman" w:eastAsia="仿宋_GB2312" w:cs="仿宋_GB2312"/>
          <w:color w:val="auto"/>
          <w:lang w:eastAsia="zh-CN"/>
        </w:rPr>
        <w:t>.</w:t>
      </w:r>
      <w:bookmarkEnd w:id="172"/>
      <w:bookmarkStart w:id="178" w:name="_Toc14295"/>
      <w:r>
        <w:rPr>
          <w:rFonts w:hint="eastAsia" w:ascii="Times New Roman" w:hAnsi="Times New Roman" w:eastAsia="仿宋_GB2312" w:cs="仿宋_GB2312"/>
          <w:color w:val="auto"/>
        </w:rPr>
        <w:t>社会效益（</w:t>
      </w:r>
      <w:r>
        <w:rPr>
          <w:rFonts w:hint="eastAsia" w:ascii="Times New Roman" w:hAnsi="Times New Roman" w:eastAsia="仿宋_GB2312" w:cs="仿宋_GB2312"/>
          <w:color w:val="auto"/>
          <w:lang w:val="en-US" w:eastAsia="zh-CN"/>
        </w:rPr>
        <w:t>10</w:t>
      </w:r>
      <w:r>
        <w:rPr>
          <w:rFonts w:hint="eastAsia" w:ascii="Times New Roman" w:hAnsi="Times New Roman" w:eastAsia="仿宋_GB2312" w:cs="仿宋_GB2312"/>
          <w:color w:val="auto"/>
        </w:rPr>
        <w:t>分）</w:t>
      </w:r>
      <w:bookmarkEnd w:id="173"/>
      <w:bookmarkEnd w:id="174"/>
      <w:bookmarkEnd w:id="175"/>
      <w:bookmarkEnd w:id="176"/>
      <w:bookmarkEnd w:id="177"/>
      <w:bookmarkEnd w:id="178"/>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）各项培训技能通过率（</w:t>
      </w:r>
      <w:r>
        <w:rPr>
          <w:rFonts w:hint="eastAsia" w:ascii="Times New Roman" w:hAnsi="Times New Roman" w:eastAsia="仿宋_GB2312" w:cs="仿宋_GB2312"/>
          <w:b/>
          <w:bCs/>
          <w:color w:val="auto"/>
          <w:sz w:val="28"/>
          <w:szCs w:val="28"/>
          <w:lang w:val="en-US" w:eastAsia="zh-CN"/>
        </w:rPr>
        <w:t>6</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FF0000"/>
          <w:sz w:val="28"/>
          <w:szCs w:val="28"/>
        </w:rPr>
      </w:pPr>
      <w:r>
        <w:rPr>
          <w:rFonts w:hint="eastAsia" w:ascii="Times New Roman" w:hAnsi="Times New Roman" w:eastAsia="仿宋_GB2312" w:cs="仿宋_GB2312"/>
          <w:color w:val="auto"/>
          <w:sz w:val="28"/>
          <w:szCs w:val="28"/>
          <w:highlight w:val="none"/>
          <w:lang w:val="en-US" w:eastAsia="zh-CN"/>
        </w:rPr>
        <w:t>为了解</w:t>
      </w:r>
      <w:r>
        <w:rPr>
          <w:rFonts w:hint="eastAsia" w:ascii="Times New Roman" w:hAnsi="Times New Roman" w:eastAsia="仿宋_GB2312" w:cs="仿宋_GB2312"/>
          <w:b w:val="0"/>
          <w:bCs w:val="0"/>
          <w:color w:val="auto"/>
          <w:kern w:val="2"/>
          <w:sz w:val="28"/>
          <w:szCs w:val="28"/>
          <w:lang w:val="en-US" w:eastAsia="zh-CN" w:bidi="ar-SA"/>
        </w:rPr>
        <w:t>教育系统师资培训费项目</w:t>
      </w:r>
      <w:r>
        <w:rPr>
          <w:rFonts w:hint="eastAsia" w:ascii="Times New Roman" w:hAnsi="Times New Roman" w:eastAsia="仿宋_GB2312" w:cs="仿宋_GB2312"/>
          <w:color w:val="auto"/>
          <w:sz w:val="28"/>
          <w:szCs w:val="28"/>
          <w:highlight w:val="none"/>
          <w:lang w:val="en-US" w:eastAsia="zh-CN"/>
        </w:rPr>
        <w:t>实施社会效益情况设立此项指标；通过核查项目业务材料</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lang w:val="en-US" w:eastAsia="zh-CN"/>
        </w:rPr>
        <w:t>新建区教育体育局</w:t>
      </w:r>
      <w:r>
        <w:rPr>
          <w:rFonts w:hint="eastAsia" w:ascii="Times New Roman" w:hAnsi="Times New Roman" w:eastAsia="仿宋_GB2312" w:cs="仿宋_GB2312"/>
          <w:color w:val="auto"/>
          <w:sz w:val="28"/>
          <w:szCs w:val="28"/>
          <w:highlight w:val="none"/>
          <w:lang w:val="en-US" w:eastAsia="zh-CN"/>
        </w:rPr>
        <w:t>根据省教育厅安排组织全区各校师训管理员培训班，传达省教育厅精神，介绍高教社平台的使用方法，同时安排</w:t>
      </w:r>
      <w:r>
        <w:rPr>
          <w:rFonts w:hint="eastAsia" w:eastAsia="仿宋_GB2312" w:cs="仿宋_GB2312"/>
          <w:color w:val="auto"/>
          <w:sz w:val="28"/>
          <w:szCs w:val="28"/>
          <w:highlight w:val="none"/>
          <w:lang w:val="en-US" w:eastAsia="zh-CN"/>
        </w:rPr>
        <w:t>学员</w:t>
      </w:r>
      <w:r>
        <w:rPr>
          <w:rFonts w:hint="eastAsia" w:ascii="Times New Roman" w:hAnsi="Times New Roman" w:eastAsia="仿宋_GB2312" w:cs="仿宋_GB2312"/>
          <w:color w:val="auto"/>
          <w:sz w:val="28"/>
          <w:szCs w:val="28"/>
          <w:highlight w:val="none"/>
          <w:lang w:val="en-US" w:eastAsia="zh-CN"/>
        </w:rPr>
        <w:t>上机操作，确保每一位师训管理员从理论到实践完全掌握，提升各校师训管理员的平台操作技术水平。</w:t>
      </w:r>
      <w:r>
        <w:rPr>
          <w:rFonts w:hint="eastAsia" w:ascii="Times New Roman" w:hAnsi="Times New Roman" w:eastAsia="仿宋_GB2312" w:cs="仿宋_GB2312"/>
          <w:color w:val="auto"/>
          <w:sz w:val="28"/>
          <w:szCs w:val="28"/>
        </w:rPr>
        <w:t>该</w:t>
      </w:r>
      <w:r>
        <w:rPr>
          <w:rFonts w:hint="eastAsia" w:ascii="Times New Roman" w:hAnsi="Times New Roman" w:eastAsia="仿宋_GB2312" w:cs="仿宋_GB2312"/>
          <w:color w:val="auto"/>
          <w:sz w:val="28"/>
          <w:szCs w:val="28"/>
          <w:highlight w:val="none"/>
        </w:rPr>
        <w:t>指标得</w:t>
      </w:r>
      <w:r>
        <w:rPr>
          <w:rFonts w:hint="eastAsia" w:ascii="Times New Roman" w:hAnsi="Times New Roman" w:eastAsia="仿宋_GB2312" w:cs="仿宋_GB2312"/>
          <w:color w:val="auto"/>
          <w:sz w:val="28"/>
          <w:szCs w:val="28"/>
          <w:highlight w:val="none"/>
          <w:lang w:val="en-US" w:eastAsia="zh-CN"/>
        </w:rPr>
        <w:t>6.</w:t>
      </w:r>
      <w:r>
        <w:rPr>
          <w:rFonts w:hint="eastAsia" w:ascii="Times New Roman" w:hAnsi="Times New Roman" w:eastAsia="仿宋_GB2312" w:cs="Times New Roman"/>
          <w:color w:val="auto"/>
          <w:sz w:val="28"/>
          <w:szCs w:val="28"/>
          <w:lang w:val="en-US" w:eastAsia="zh-CN"/>
        </w:rPr>
        <w:t>00</w:t>
      </w:r>
      <w:r>
        <w:rPr>
          <w:rFonts w:hint="eastAsia" w:ascii="Times New Roman" w:hAnsi="Times New Roman" w:eastAsia="仿宋_GB2312" w:cs="仿宋_GB2312"/>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ascii="仿宋_GB2312" w:hAnsi="仿宋_GB2312" w:eastAsia="仿宋_GB2312" w:cs="Times New Roman"/>
          <w:b/>
          <w:bCs/>
          <w:color w:val="auto"/>
          <w:sz w:val="28"/>
          <w:szCs w:val="28"/>
        </w:rPr>
      </w:pP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2</w:t>
      </w: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人员能力水平提高情况</w:t>
      </w: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4</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highlight w:val="none"/>
          <w:lang w:val="en-US" w:eastAsia="zh-CN"/>
        </w:rPr>
        <w:t>为了解</w:t>
      </w:r>
      <w:r>
        <w:rPr>
          <w:rFonts w:hint="eastAsia" w:ascii="Times New Roman" w:hAnsi="Times New Roman" w:eastAsia="仿宋_GB2312" w:cs="仿宋_GB2312"/>
          <w:b w:val="0"/>
          <w:bCs w:val="0"/>
          <w:color w:val="auto"/>
          <w:kern w:val="2"/>
          <w:sz w:val="28"/>
          <w:szCs w:val="28"/>
          <w:lang w:val="en-US" w:eastAsia="zh-CN" w:bidi="ar-SA"/>
        </w:rPr>
        <w:t>教育系统师资培训费项目</w:t>
      </w:r>
      <w:r>
        <w:rPr>
          <w:rFonts w:hint="eastAsia" w:ascii="Times New Roman" w:hAnsi="Times New Roman" w:eastAsia="仿宋_GB2312" w:cs="仿宋_GB2312"/>
          <w:color w:val="auto"/>
          <w:sz w:val="28"/>
          <w:szCs w:val="28"/>
          <w:highlight w:val="none"/>
          <w:lang w:val="en-US" w:eastAsia="zh-CN"/>
        </w:rPr>
        <w:t>实施社会效益情况设立此项指标；通过核查项目业务材料</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b w:val="0"/>
          <w:bCs w:val="0"/>
          <w:color w:val="auto"/>
          <w:kern w:val="2"/>
          <w:sz w:val="28"/>
          <w:szCs w:val="28"/>
          <w:lang w:val="en-US" w:eastAsia="zh-CN" w:bidi="ar-SA"/>
        </w:rPr>
        <w:t>教育系统师资培训费项目</w:t>
      </w:r>
      <w:r>
        <w:rPr>
          <w:rFonts w:hint="eastAsia" w:ascii="Times New Roman" w:hAnsi="Times New Roman" w:eastAsia="仿宋_GB2312" w:cs="仿宋_GB2312"/>
          <w:color w:val="auto"/>
          <w:sz w:val="28"/>
          <w:szCs w:val="28"/>
          <w:lang w:eastAsia="zh-CN"/>
        </w:rPr>
        <w:t>采用集中培训、异地集中培训、跟岗实践、自主研修等形式，不断创新培训新模式，丰富教师培训内容，强化教师培训管理，提升教师培训效果。</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ascii="Times New Roman" w:hAnsi="Times New Roman" w:eastAsia="仿宋_GB2312" w:cs="仿宋_GB2312"/>
          <w:color w:val="auto"/>
          <w:sz w:val="28"/>
          <w:szCs w:val="28"/>
          <w:highlight w:val="none"/>
          <w:lang w:val="en-US" w:eastAsia="zh-CN"/>
        </w:rPr>
        <w:t>4</w:t>
      </w:r>
      <w:r>
        <w:rPr>
          <w:rFonts w:hint="eastAsia" w:ascii="Times New Roman" w:hAnsi="Times New Roman" w:eastAsia="仿宋_GB2312" w:cs="Times New Roman"/>
          <w:color w:val="auto"/>
          <w:sz w:val="28"/>
          <w:szCs w:val="28"/>
          <w:lang w:val="en-US" w:eastAsia="zh-CN"/>
        </w:rPr>
        <w:t>.00</w:t>
      </w:r>
      <w:r>
        <w:rPr>
          <w:rFonts w:hint="eastAsia" w:ascii="Times New Roman" w:hAnsi="Times New Roman" w:eastAsia="仿宋_GB2312" w:cs="仿宋_GB2312"/>
          <w:color w:val="auto"/>
          <w:sz w:val="28"/>
          <w:szCs w:val="28"/>
        </w:rPr>
        <w:t>分。</w:t>
      </w:r>
    </w:p>
    <w:p>
      <w:pPr>
        <w:pStyle w:val="6"/>
        <w:keepNext/>
        <w:keepLines/>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ascii="Times New Roman" w:hAnsi="Times New Roman" w:eastAsia="仿宋_GB2312" w:cs="Times New Roman"/>
          <w:color w:val="auto"/>
        </w:rPr>
      </w:pPr>
      <w:bookmarkStart w:id="179" w:name="_Toc19804"/>
      <w:bookmarkStart w:id="180" w:name="_Toc7370"/>
      <w:bookmarkStart w:id="181" w:name="_Toc11511"/>
      <w:bookmarkStart w:id="182" w:name="_Toc21055"/>
      <w:bookmarkStart w:id="183" w:name="_Toc15228"/>
      <w:bookmarkStart w:id="184" w:name="_Toc7036"/>
      <w:r>
        <w:rPr>
          <w:rFonts w:hint="eastAsia" w:ascii="Times New Roman" w:hAnsi="Times New Roman" w:eastAsia="仿宋_GB2312" w:cs="仿宋_GB2312"/>
          <w:color w:val="auto"/>
          <w:lang w:val="en-US" w:eastAsia="zh-CN"/>
        </w:rPr>
        <w:t>2</w:t>
      </w:r>
      <w:r>
        <w:rPr>
          <w:rFonts w:hint="eastAsia" w:ascii="Times New Roman" w:hAnsi="Times New Roman" w:eastAsia="仿宋_GB2312" w:cs="仿宋_GB2312"/>
          <w:color w:val="auto"/>
          <w:lang w:eastAsia="zh-CN"/>
        </w:rPr>
        <w:t>.</w:t>
      </w:r>
      <w:r>
        <w:rPr>
          <w:rFonts w:hint="eastAsia" w:ascii="Times New Roman" w:hAnsi="Times New Roman" w:eastAsia="仿宋_GB2312" w:cs="仿宋_GB2312"/>
          <w:color w:val="auto"/>
        </w:rPr>
        <w:t>可持续影响（</w:t>
      </w:r>
      <w:r>
        <w:rPr>
          <w:rFonts w:hint="eastAsia" w:ascii="Times New Roman" w:hAnsi="Times New Roman" w:eastAsia="仿宋_GB2312" w:cs="仿宋_GB2312"/>
          <w:color w:val="auto"/>
          <w:lang w:val="en-US" w:eastAsia="zh-CN"/>
        </w:rPr>
        <w:t>6</w:t>
      </w:r>
      <w:r>
        <w:rPr>
          <w:rFonts w:hint="eastAsia" w:ascii="Times New Roman" w:hAnsi="Times New Roman" w:eastAsia="仿宋_GB2312" w:cs="仿宋_GB2312"/>
          <w:color w:val="auto"/>
        </w:rPr>
        <w:t>分）</w:t>
      </w:r>
      <w:bookmarkEnd w:id="179"/>
      <w:bookmarkEnd w:id="180"/>
      <w:bookmarkEnd w:id="181"/>
      <w:bookmarkEnd w:id="182"/>
      <w:bookmarkEnd w:id="183"/>
      <w:bookmarkEnd w:id="184"/>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lang w:eastAsia="zh-CN"/>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）建立健全教师培训管理制度</w:t>
      </w:r>
      <w:r>
        <w:rPr>
          <w:rFonts w:hint="eastAsia" w:ascii="Times New Roman" w:hAnsi="Times New Roman" w:eastAsia="仿宋_GB2312" w:cs="仿宋_GB2312"/>
          <w:b/>
          <w:bCs/>
          <w:color w:val="auto"/>
          <w:sz w:val="28"/>
          <w:szCs w:val="28"/>
          <w:lang w:eastAsia="zh-CN"/>
        </w:rPr>
        <w:t>（</w:t>
      </w:r>
      <w:r>
        <w:rPr>
          <w:rFonts w:hint="eastAsia" w:ascii="Times New Roman" w:hAnsi="Times New Roman" w:eastAsia="仿宋_GB2312" w:cs="仿宋_GB2312"/>
          <w:b/>
          <w:bCs/>
          <w:color w:val="auto"/>
          <w:sz w:val="28"/>
          <w:szCs w:val="28"/>
          <w:lang w:val="en-US" w:eastAsia="zh-CN"/>
        </w:rPr>
        <w:t>6</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highlight w:val="none"/>
          <w:lang w:val="en-US" w:eastAsia="zh-CN"/>
        </w:rPr>
        <w:t>为了解</w:t>
      </w:r>
      <w:r>
        <w:rPr>
          <w:rFonts w:hint="eastAsia" w:ascii="Times New Roman" w:hAnsi="Times New Roman" w:eastAsia="仿宋_GB2312" w:cs="仿宋_GB2312"/>
          <w:b w:val="0"/>
          <w:bCs w:val="0"/>
          <w:color w:val="auto"/>
          <w:kern w:val="2"/>
          <w:sz w:val="28"/>
          <w:szCs w:val="28"/>
          <w:lang w:val="en-US" w:eastAsia="zh-CN" w:bidi="ar-SA"/>
        </w:rPr>
        <w:t>教育系统师资培训费项目</w:t>
      </w:r>
      <w:r>
        <w:rPr>
          <w:rFonts w:hint="eastAsia" w:ascii="Times New Roman" w:hAnsi="Times New Roman" w:eastAsia="仿宋_GB2312" w:cs="仿宋_GB2312"/>
          <w:color w:val="auto"/>
          <w:sz w:val="28"/>
          <w:szCs w:val="28"/>
          <w:highlight w:val="none"/>
          <w:lang w:val="en-US" w:eastAsia="zh-CN"/>
        </w:rPr>
        <w:t>实施可持续影响设立此项指标；通过核查项目业务材料</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lang w:val="en-US" w:eastAsia="zh-CN"/>
        </w:rPr>
        <w:t>新建区教育体育局</w:t>
      </w:r>
      <w:r>
        <w:rPr>
          <w:rFonts w:hint="eastAsia" w:ascii="Times New Roman" w:hAnsi="Times New Roman" w:eastAsia="仿宋_GB2312" w:cs="仿宋_GB2312"/>
          <w:color w:val="auto"/>
          <w:sz w:val="28"/>
          <w:szCs w:val="28"/>
          <w:lang w:eastAsia="zh-CN"/>
        </w:rPr>
        <w:t>建立健全干部、教师培训学习责任制，实行培训学分制管理，将培训工作与教育人事制度改革、干部考核、教师资格定期注册相结合，将培训工作纳入学校年度综合考核、校领导绩效考核体系，作为教师年度绩效考核、教师资格注册、职务晋升、岗位聘任、评优奖励的重要依据，形成终身学习和专业发展的激励、约束机制，切实提高教师培训经费使用效益。</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ascii="Times New Roman" w:hAnsi="Times New Roman" w:eastAsia="仿宋_GB2312" w:cs="仿宋_GB2312"/>
          <w:color w:val="auto"/>
          <w:sz w:val="28"/>
          <w:szCs w:val="28"/>
          <w:highlight w:val="none"/>
          <w:lang w:val="en-US" w:eastAsia="zh-CN"/>
        </w:rPr>
        <w:t>6</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p>
      <w:pPr>
        <w:pStyle w:val="6"/>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eastAsia" w:ascii="Times New Roman" w:hAnsi="Times New Roman" w:eastAsia="仿宋_GB2312" w:cs="仿宋_GB2312"/>
          <w:b/>
          <w:bCs/>
          <w:color w:val="auto"/>
          <w:kern w:val="2"/>
          <w:sz w:val="32"/>
          <w:szCs w:val="32"/>
          <w:lang w:val="en-US" w:eastAsia="zh-CN" w:bidi="ar-SA"/>
        </w:rPr>
      </w:pPr>
      <w:bookmarkStart w:id="185" w:name="_Toc4223"/>
      <w:bookmarkStart w:id="186" w:name="_Toc18853"/>
      <w:bookmarkStart w:id="187" w:name="_Toc6157"/>
      <w:bookmarkStart w:id="188" w:name="_Toc22692"/>
      <w:r>
        <w:rPr>
          <w:rFonts w:hint="eastAsia" w:ascii="Times New Roman" w:hAnsi="Times New Roman" w:eastAsia="仿宋_GB2312" w:cs="仿宋_GB2312"/>
          <w:b/>
          <w:bCs/>
          <w:color w:val="auto"/>
          <w:kern w:val="2"/>
          <w:sz w:val="32"/>
          <w:szCs w:val="32"/>
          <w:lang w:val="en-US" w:eastAsia="zh-CN" w:bidi="ar-SA"/>
        </w:rPr>
        <w:t>3.服务对象满意度（10分）</w:t>
      </w:r>
      <w:bookmarkEnd w:id="185"/>
      <w:bookmarkEnd w:id="186"/>
      <w:bookmarkEnd w:id="187"/>
      <w:bookmarkEnd w:id="188"/>
    </w:p>
    <w:p>
      <w:pPr>
        <w:pageBreakBefore w:val="0"/>
        <w:widowControl w:val="0"/>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仿宋_GB2312"/>
          <w:b/>
          <w:bCs/>
          <w:color w:val="auto"/>
          <w:sz w:val="28"/>
          <w:szCs w:val="28"/>
        </w:rPr>
      </w:pPr>
      <w:r>
        <w:rPr>
          <w:rFonts w:hint="eastAsia" w:ascii="Times New Roman" w:hAnsi="Times New Roman" w:eastAsia="仿宋_GB2312" w:cs="仿宋_GB2312"/>
          <w:b/>
          <w:bCs/>
          <w:color w:val="auto"/>
          <w:sz w:val="28"/>
          <w:szCs w:val="28"/>
        </w:rPr>
        <w:t>（</w:t>
      </w:r>
      <w:r>
        <w:rPr>
          <w:rFonts w:ascii="Times New Roman" w:hAnsi="Times New Roman" w:eastAsia="仿宋_GB2312" w:cs="Times New Roman"/>
          <w:b/>
          <w:bCs/>
          <w:color w:val="auto"/>
          <w:sz w:val="28"/>
          <w:szCs w:val="28"/>
        </w:rPr>
        <w:t>1</w:t>
      </w: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培训人员</w:t>
      </w:r>
      <w:r>
        <w:rPr>
          <w:rFonts w:hint="eastAsia" w:ascii="Times New Roman" w:hAnsi="Times New Roman" w:eastAsia="仿宋_GB2312" w:cs="仿宋_GB2312"/>
          <w:b/>
          <w:bCs/>
          <w:color w:val="auto"/>
          <w:sz w:val="28"/>
          <w:szCs w:val="28"/>
        </w:rPr>
        <w:t>满意度≥9</w:t>
      </w:r>
      <w:r>
        <w:rPr>
          <w:rFonts w:hint="eastAsia" w:ascii="Times New Roman" w:hAnsi="Times New Roman" w:eastAsia="仿宋_GB2312" w:cs="仿宋_GB2312"/>
          <w:b/>
          <w:bCs/>
          <w:color w:val="auto"/>
          <w:sz w:val="28"/>
          <w:szCs w:val="28"/>
          <w:lang w:val="en-US" w:eastAsia="zh-CN"/>
        </w:rPr>
        <w:t>0</w:t>
      </w:r>
      <w:r>
        <w:rPr>
          <w:rFonts w:hint="eastAsia" w:ascii="Times New Roman" w:hAnsi="Times New Roman" w:eastAsia="仿宋_GB2312" w:cs="仿宋_GB2312"/>
          <w:b/>
          <w:bCs/>
          <w:color w:val="auto"/>
          <w:sz w:val="28"/>
          <w:szCs w:val="28"/>
        </w:rPr>
        <w:t>%（</w:t>
      </w:r>
      <w:r>
        <w:rPr>
          <w:rFonts w:hint="eastAsia" w:ascii="Times New Roman" w:hAnsi="Times New Roman" w:eastAsia="仿宋_GB2312" w:cs="仿宋_GB2312"/>
          <w:b/>
          <w:bCs/>
          <w:color w:val="auto"/>
          <w:sz w:val="28"/>
          <w:szCs w:val="28"/>
          <w:lang w:val="en-US" w:eastAsia="zh-CN"/>
        </w:rPr>
        <w:t>10</w:t>
      </w:r>
      <w:r>
        <w:rPr>
          <w:rFonts w:hint="eastAsia" w:ascii="Times New Roman" w:hAnsi="Times New Roman" w:eastAsia="仿宋_GB2312" w:cs="仿宋_GB2312"/>
          <w:b/>
          <w:bCs/>
          <w:color w:val="auto"/>
          <w:sz w:val="28"/>
          <w:szCs w:val="28"/>
        </w:rPr>
        <w:t>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仿宋_GB2312"/>
          <w:color w:val="auto"/>
          <w:sz w:val="28"/>
          <w:szCs w:val="28"/>
        </w:rPr>
      </w:pPr>
      <w:r>
        <w:rPr>
          <w:rFonts w:hint="eastAsia" w:ascii="Times New Roman" w:hAnsi="Times New Roman" w:eastAsia="仿宋_GB2312" w:cs="仿宋_GB2312"/>
          <w:color w:val="auto"/>
          <w:sz w:val="28"/>
          <w:szCs w:val="28"/>
          <w:lang w:eastAsia="zh-CN"/>
        </w:rPr>
        <w:t>为了解社会公众对</w:t>
      </w:r>
      <w:r>
        <w:rPr>
          <w:rFonts w:hint="eastAsia" w:ascii="Times New Roman" w:hAnsi="Times New Roman" w:eastAsia="仿宋_GB2312" w:cs="仿宋_GB2312"/>
          <w:b w:val="0"/>
          <w:bCs w:val="0"/>
          <w:color w:val="auto"/>
          <w:kern w:val="2"/>
          <w:sz w:val="28"/>
          <w:szCs w:val="28"/>
          <w:lang w:val="en-US" w:eastAsia="zh-CN" w:bidi="ar-SA"/>
        </w:rPr>
        <w:t>教育系统师资培训费项目</w:t>
      </w:r>
      <w:r>
        <w:rPr>
          <w:rFonts w:hint="eastAsia" w:ascii="Times New Roman" w:hAnsi="Times New Roman" w:eastAsia="仿宋_GB2312" w:cs="仿宋_GB2312"/>
          <w:color w:val="auto"/>
          <w:sz w:val="28"/>
          <w:szCs w:val="28"/>
          <w:lang w:val="en-US" w:eastAsia="zh-CN"/>
        </w:rPr>
        <w:t>整体满意程度</w:t>
      </w:r>
      <w:r>
        <w:rPr>
          <w:rFonts w:hint="eastAsia" w:ascii="Times New Roman" w:hAnsi="Times New Roman" w:eastAsia="仿宋_GB2312" w:cs="仿宋_GB2312"/>
          <w:color w:val="auto"/>
          <w:sz w:val="28"/>
          <w:szCs w:val="28"/>
          <w:lang w:eastAsia="zh-CN"/>
        </w:rPr>
        <w:t>以及为保障项目实施成效设立此指标</w:t>
      </w:r>
      <w:r>
        <w:rPr>
          <w:rFonts w:hint="eastAsia" w:ascii="Times New Roman" w:hAnsi="Times New Roman" w:eastAsia="仿宋_GB2312" w:cs="仿宋_GB2312"/>
          <w:color w:val="auto"/>
          <w:sz w:val="28"/>
          <w:szCs w:val="28"/>
        </w:rPr>
        <w:t>；经</w:t>
      </w:r>
      <w:r>
        <w:rPr>
          <w:rFonts w:hint="eastAsia" w:ascii="Times New Roman" w:hAnsi="Times New Roman" w:eastAsia="仿宋_GB2312" w:cs="仿宋_GB2312"/>
          <w:color w:val="auto"/>
          <w:sz w:val="28"/>
          <w:szCs w:val="28"/>
          <w:lang w:eastAsia="zh-CN"/>
        </w:rPr>
        <w:t>面访社会公众</w:t>
      </w:r>
      <w:r>
        <w:rPr>
          <w:rFonts w:hint="eastAsia" w:ascii="Times New Roman" w:hAnsi="Times New Roman" w:eastAsia="仿宋_GB2312" w:cs="仿宋_GB2312"/>
          <w:color w:val="auto"/>
          <w:sz w:val="28"/>
          <w:szCs w:val="28"/>
        </w:rPr>
        <w:t>，了解到</w:t>
      </w:r>
      <w:r>
        <w:rPr>
          <w:rFonts w:hint="eastAsia" w:ascii="Times New Roman" w:hAnsi="Times New Roman" w:eastAsia="仿宋_GB2312" w:cs="仿宋_GB2312"/>
          <w:color w:val="auto"/>
          <w:sz w:val="28"/>
          <w:szCs w:val="28"/>
          <w:lang w:val="en-US" w:eastAsia="zh-CN"/>
        </w:rPr>
        <w:t>培训教师</w:t>
      </w:r>
      <w:r>
        <w:rPr>
          <w:rFonts w:hint="eastAsia" w:ascii="Times New Roman" w:hAnsi="Times New Roman" w:eastAsia="仿宋_GB2312" w:cs="仿宋_GB2312"/>
          <w:color w:val="auto"/>
          <w:sz w:val="28"/>
          <w:szCs w:val="28"/>
        </w:rPr>
        <w:t>对</w:t>
      </w:r>
      <w:r>
        <w:rPr>
          <w:rFonts w:hint="eastAsia" w:ascii="Times New Roman" w:hAnsi="Times New Roman" w:eastAsia="仿宋_GB2312" w:cs="仿宋_GB2312"/>
          <w:b w:val="0"/>
          <w:bCs w:val="0"/>
          <w:color w:val="auto"/>
          <w:kern w:val="2"/>
          <w:sz w:val="28"/>
          <w:szCs w:val="28"/>
          <w:lang w:val="en-US" w:eastAsia="zh-CN" w:bidi="ar-SA"/>
        </w:rPr>
        <w:t>教育系统师资培训费项目</w:t>
      </w:r>
      <w:r>
        <w:rPr>
          <w:rFonts w:hint="eastAsia" w:ascii="Times New Roman" w:hAnsi="Times New Roman" w:eastAsia="仿宋_GB2312" w:cs="仿宋_GB2312"/>
          <w:color w:val="auto"/>
          <w:sz w:val="28"/>
          <w:szCs w:val="28"/>
        </w:rPr>
        <w:t>的总体满意度</w:t>
      </w:r>
      <w:r>
        <w:rPr>
          <w:rFonts w:hint="eastAsia" w:ascii="Times New Roman" w:hAnsi="Times New Roman" w:eastAsia="仿宋_GB2312" w:cs="仿宋_GB2312"/>
          <w:color w:val="auto"/>
          <w:sz w:val="28"/>
          <w:szCs w:val="28"/>
          <w:lang w:eastAsia="zh-CN"/>
        </w:rPr>
        <w:t>达到</w:t>
      </w:r>
      <w:r>
        <w:rPr>
          <w:rFonts w:hint="eastAsia" w:ascii="Times New Roman" w:hAnsi="Times New Roman" w:eastAsia="仿宋_GB2312" w:cs="仿宋_GB2312"/>
          <w:color w:val="auto"/>
          <w:sz w:val="28"/>
          <w:szCs w:val="28"/>
          <w:lang w:val="en-US" w:eastAsia="zh-CN"/>
        </w:rPr>
        <w:t>96.00</w:t>
      </w:r>
      <w:r>
        <w:rPr>
          <w:rFonts w:hint="eastAsia" w:ascii="Times New Roman" w:hAnsi="Times New Roman" w:eastAsia="仿宋_GB2312" w:cs="仿宋_GB2312"/>
          <w:color w:val="auto"/>
          <w:sz w:val="28"/>
          <w:szCs w:val="28"/>
        </w:rPr>
        <w:t>%</w:t>
      </w:r>
      <w:r>
        <w:rPr>
          <w:rFonts w:hint="eastAsia" w:ascii="Times New Roman" w:hAnsi="Times New Roman" w:eastAsia="仿宋_GB2312" w:cs="仿宋_GB2312"/>
          <w:color w:val="auto"/>
          <w:sz w:val="28"/>
          <w:szCs w:val="28"/>
          <w:lang w:eastAsia="zh-CN"/>
        </w:rPr>
        <w:t>。</w:t>
      </w:r>
      <w:r>
        <w:rPr>
          <w:rFonts w:hint="eastAsia" w:ascii="Times New Roman" w:hAnsi="Times New Roman" w:eastAsia="仿宋_GB2312" w:cs="仿宋_GB2312"/>
          <w:color w:val="auto"/>
          <w:sz w:val="28"/>
          <w:szCs w:val="28"/>
        </w:rPr>
        <w:t>根据评分标准，该</w:t>
      </w:r>
      <w:r>
        <w:rPr>
          <w:rFonts w:hint="eastAsia" w:ascii="Times New Roman" w:hAnsi="Times New Roman" w:eastAsia="仿宋_GB2312" w:cs="仿宋_GB2312"/>
          <w:color w:val="auto"/>
          <w:sz w:val="28"/>
          <w:szCs w:val="28"/>
          <w:highlight w:val="none"/>
        </w:rPr>
        <w:t>指标得</w:t>
      </w:r>
      <w:r>
        <w:rPr>
          <w:rFonts w:hint="eastAsia" w:ascii="Times New Roman" w:hAnsi="Times New Roman" w:eastAsia="仿宋_GB2312" w:cs="仿宋_GB2312"/>
          <w:color w:val="auto"/>
          <w:sz w:val="28"/>
          <w:szCs w:val="28"/>
          <w:highlight w:val="none"/>
          <w:lang w:val="en-US" w:eastAsia="zh-CN"/>
        </w:rPr>
        <w:t>10</w:t>
      </w:r>
      <w:r>
        <w:rPr>
          <w:rFonts w:hint="eastAsia" w:ascii="Times New Roman" w:hAnsi="Times New Roman" w:eastAsia="仿宋_GB2312" w:cs="仿宋_GB2312"/>
          <w:color w:val="auto"/>
          <w:sz w:val="28"/>
          <w:szCs w:val="28"/>
          <w:lang w:val="en-US" w:eastAsia="zh-CN"/>
        </w:rPr>
        <w:t>.00</w:t>
      </w:r>
      <w:r>
        <w:rPr>
          <w:rFonts w:hint="eastAsia" w:ascii="Times New Roman" w:hAnsi="Times New Roman" w:eastAsia="仿宋_GB2312" w:cs="仿宋_GB2312"/>
          <w:color w:val="auto"/>
          <w:sz w:val="28"/>
          <w:szCs w:val="28"/>
        </w:rPr>
        <w:t>分。</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shd w:val="clear" w:color="auto" w:fill="auto"/>
        </w:rPr>
      </w:pPr>
      <w:bookmarkStart w:id="189" w:name="_Toc27010"/>
      <w:r>
        <w:rPr>
          <w:rFonts w:hint="eastAsia" w:cs="黑体"/>
          <w:color w:val="auto"/>
          <w:shd w:val="clear" w:color="auto" w:fill="auto"/>
        </w:rPr>
        <w:t>五、</w:t>
      </w:r>
      <w:bookmarkEnd w:id="111"/>
      <w:r>
        <w:rPr>
          <w:rFonts w:hint="eastAsia" w:cs="黑体"/>
          <w:color w:val="auto"/>
          <w:shd w:val="clear" w:color="auto" w:fill="auto"/>
        </w:rPr>
        <w:t>主要经验及做法、存在的问题及原因分析</w:t>
      </w:r>
      <w:bookmarkEnd w:id="189"/>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shd w:val="clear" w:color="auto" w:fill="auto"/>
          <w:lang w:val="en-US" w:eastAsia="zh-CN"/>
        </w:rPr>
      </w:pPr>
      <w:bookmarkStart w:id="190" w:name="_Toc26195"/>
      <w:r>
        <w:rPr>
          <w:rFonts w:hint="eastAsia" w:ascii="Times New Roman" w:hAnsi="Times New Roman" w:eastAsia="楷体_GB2312" w:cs="楷体_GB2312"/>
          <w:color w:val="auto"/>
          <w:shd w:val="clear" w:color="auto" w:fill="auto"/>
          <w:lang w:val="en-US" w:eastAsia="zh-CN"/>
        </w:rPr>
        <w:t>（一）项目实施经验及做法</w:t>
      </w:r>
      <w:bookmarkEnd w:id="190"/>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shd w:val="clear" w:color="auto" w:fill="auto"/>
          <w:lang w:val="en-US" w:eastAsia="zh-CN" w:bidi="ar-SA"/>
        </w:rPr>
      </w:pPr>
      <w:r>
        <w:rPr>
          <w:rFonts w:hint="eastAsia" w:ascii="Times New Roman" w:hAnsi="Times New Roman" w:eastAsia="仿宋_GB2312" w:cs="仿宋_GB2312"/>
          <w:b w:val="0"/>
          <w:bCs w:val="0"/>
          <w:color w:val="auto"/>
          <w:kern w:val="2"/>
          <w:sz w:val="28"/>
          <w:szCs w:val="28"/>
          <w:shd w:val="clear" w:color="auto" w:fill="auto"/>
          <w:lang w:val="en-US" w:eastAsia="zh-CN" w:bidi="ar-SA"/>
        </w:rPr>
        <w:t>无</w:t>
      </w:r>
    </w:p>
    <w:p>
      <w:pPr>
        <w:pStyle w:val="5"/>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楷体_GB2312" w:cs="楷体_GB2312"/>
          <w:color w:val="auto"/>
          <w:lang w:val="en-US" w:eastAsia="zh-CN"/>
        </w:rPr>
      </w:pPr>
      <w:bookmarkStart w:id="191" w:name="_Toc26712"/>
      <w:r>
        <w:rPr>
          <w:rFonts w:hint="eastAsia" w:ascii="Times New Roman" w:hAnsi="Times New Roman" w:eastAsia="楷体_GB2312" w:cs="楷体_GB2312"/>
          <w:color w:val="auto"/>
          <w:lang w:val="en-US" w:eastAsia="zh-CN"/>
        </w:rPr>
        <w:t>（二）存在的问题及原因分析</w:t>
      </w:r>
      <w:bookmarkEnd w:id="191"/>
    </w:p>
    <w:p>
      <w:pPr>
        <w:pStyle w:val="6"/>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192" w:name="_Toc4047"/>
      <w:bookmarkStart w:id="193" w:name="_Toc14452"/>
      <w:bookmarkStart w:id="194" w:name="_Toc1123"/>
      <w:r>
        <w:rPr>
          <w:rFonts w:hint="eastAsia" w:ascii="Times New Roman" w:hAnsi="Times New Roman" w:eastAsia="仿宋_GB2312" w:cs="Times New Roman"/>
          <w:color w:val="auto"/>
          <w:lang w:val="en-US" w:eastAsia="zh-CN"/>
        </w:rPr>
        <w:t>1.预算编制科学性不足</w:t>
      </w:r>
      <w:bookmarkEnd w:id="192"/>
      <w:bookmarkEnd w:id="193"/>
      <w:bookmarkEnd w:id="194"/>
    </w:p>
    <w:p>
      <w:pPr>
        <w:pStyle w:val="7"/>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kern w:val="2"/>
          <w:sz w:val="28"/>
          <w:szCs w:val="28"/>
          <w:lang w:val="en-US" w:eastAsia="zh-CN" w:bidi="ar-SA"/>
        </w:rPr>
      </w:pPr>
      <w:r>
        <w:rPr>
          <w:rFonts w:hint="eastAsia" w:ascii="Times New Roman" w:hAnsi="Times New Roman" w:eastAsia="仿宋_GB2312" w:cs="仿宋_GB2312"/>
          <w:b w:val="0"/>
          <w:bCs w:val="0"/>
          <w:color w:val="auto"/>
          <w:kern w:val="2"/>
          <w:sz w:val="28"/>
          <w:szCs w:val="28"/>
          <w:lang w:val="en-US" w:eastAsia="zh-CN" w:bidi="ar-SA"/>
        </w:rPr>
        <w:t>教育系统师资培训费项目为经常性项目，项目根据培训内容编制项目预算，项目年初编制预算575.00万元，实际支出555.00万元，预算执行率96.52%；主要原因为预算编制科学性不足，2022年编制项目预算未充分考虑疫情因素调整项目预算，同时，受新冠肺炎疫情影响，培训差旅费用及聘用专家等费用较往年减少。</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195" w:name="_Toc3557"/>
      <w:r>
        <w:rPr>
          <w:rFonts w:hint="eastAsia" w:cs="黑体"/>
          <w:color w:val="auto"/>
        </w:rPr>
        <w:t>六、有关建议</w:t>
      </w:r>
      <w:bookmarkEnd w:id="195"/>
    </w:p>
    <w:p>
      <w:pPr>
        <w:pStyle w:val="6"/>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lang w:val="en-US" w:eastAsia="zh-CN"/>
        </w:rPr>
      </w:pPr>
      <w:bookmarkStart w:id="196" w:name="_Toc21205"/>
      <w:bookmarkStart w:id="197" w:name="_Toc31068"/>
      <w:bookmarkStart w:id="198" w:name="_Toc5749"/>
      <w:r>
        <w:rPr>
          <w:rFonts w:hint="eastAsia" w:ascii="Times New Roman" w:hAnsi="Times New Roman" w:eastAsia="仿宋_GB2312" w:cs="Times New Roman"/>
          <w:color w:val="auto"/>
          <w:lang w:val="en-US" w:eastAsia="zh-CN"/>
        </w:rPr>
        <w:t>1.加强预算编制科学性，提高预算执行率</w:t>
      </w:r>
      <w:bookmarkEnd w:id="196"/>
      <w:bookmarkEnd w:id="197"/>
      <w:bookmarkEnd w:id="198"/>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仿宋_GB2312"/>
          <w:b w:val="0"/>
          <w:bCs w:val="0"/>
          <w:color w:val="auto"/>
          <w:sz w:val="28"/>
          <w:szCs w:val="28"/>
          <w:lang w:val="en-US" w:eastAsia="zh-CN"/>
        </w:rPr>
      </w:pPr>
      <w:r>
        <w:rPr>
          <w:rFonts w:hint="eastAsia" w:ascii="Times New Roman" w:hAnsi="Times New Roman" w:eastAsia="仿宋_GB2312" w:cs="仿宋_GB2312"/>
          <w:color w:val="auto"/>
          <w:sz w:val="28"/>
          <w:szCs w:val="28"/>
          <w:lang w:val="en-US" w:eastAsia="zh-CN"/>
        </w:rPr>
        <w:t>预算资金执行率直接影响项目预算目标能否实现，保证工作质量及影响工作成效，新冠疫情背景下，应根据疫情情况，及时跟进项目实施内容及变化，调整项目预算，提高项目预算执行率</w:t>
      </w:r>
      <w:r>
        <w:rPr>
          <w:rFonts w:hint="eastAsia" w:ascii="Times New Roman" w:hAnsi="Times New Roman" w:eastAsia="仿宋_GB2312" w:cs="仿宋_GB2312"/>
          <w:b w:val="0"/>
          <w:bCs w:val="0"/>
          <w:color w:val="auto"/>
          <w:sz w:val="28"/>
          <w:szCs w:val="28"/>
          <w:lang w:val="en-US" w:eastAsia="zh-CN"/>
        </w:rPr>
        <w:t>。</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黑体"/>
          <w:color w:val="auto"/>
        </w:rPr>
      </w:pPr>
      <w:bookmarkStart w:id="199" w:name="_Toc19997"/>
      <w:r>
        <w:rPr>
          <w:rFonts w:hint="eastAsia" w:cs="黑体"/>
          <w:color w:val="auto"/>
        </w:rPr>
        <w:t>七、其他需要说明的问题</w:t>
      </w:r>
      <w:bookmarkEnd w:id="199"/>
    </w:p>
    <w:p>
      <w:pPr>
        <w:pStyle w:val="2"/>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eastAsia="仿宋_GB2312"/>
          <w:lang w:val="en-US" w:eastAsia="zh-CN"/>
        </w:rPr>
      </w:pPr>
      <w:r>
        <w:rPr>
          <w:rFonts w:hint="eastAsia" w:ascii="Times New Roman" w:hAnsi="Times New Roman" w:eastAsia="仿宋_GB2312" w:cs="仿宋_GB2312"/>
          <w:b w:val="0"/>
          <w:bCs w:val="0"/>
          <w:color w:val="auto"/>
          <w:sz w:val="28"/>
          <w:szCs w:val="28"/>
          <w:lang w:eastAsia="zh-CN"/>
        </w:rPr>
        <w:t>无</w:t>
      </w:r>
    </w:p>
    <w:p>
      <w:pPr>
        <w:wordWrap w:val="0"/>
        <w:bidi w:val="0"/>
        <w:ind w:firstLine="5783" w:firstLineChars="1800"/>
        <w:jc w:val="both"/>
        <w:rPr>
          <w:rFonts w:hint="eastAsia" w:ascii="Times New Roman" w:hAnsi="Times New Roman" w:eastAsia="仿宋_GB2312" w:cs="仿宋_GB2312"/>
          <w:b/>
          <w:bCs/>
          <w:color w:val="auto"/>
          <w:kern w:val="2"/>
          <w:sz w:val="32"/>
          <w:szCs w:val="32"/>
          <w:lang w:val="en-US" w:eastAsia="zh-CN" w:bidi="ar-SA"/>
        </w:rPr>
      </w:pPr>
      <w:r>
        <w:rPr>
          <w:rFonts w:hint="eastAsia" w:ascii="Times New Roman" w:hAnsi="Times New Roman" w:eastAsia="仿宋_GB2312" w:cs="仿宋_GB2312"/>
          <w:b/>
          <w:bCs/>
          <w:color w:val="auto"/>
          <w:kern w:val="2"/>
          <w:sz w:val="32"/>
          <w:szCs w:val="32"/>
          <w:lang w:val="en-US" w:eastAsia="zh-CN" w:bidi="ar-SA"/>
        </w:rPr>
        <w:t>新建区教育体育</w:t>
      </w:r>
      <w:bookmarkStart w:id="200" w:name="_Toc3638"/>
      <w:r>
        <w:rPr>
          <w:rFonts w:hint="eastAsia" w:ascii="Times New Roman" w:hAnsi="Times New Roman" w:eastAsia="仿宋_GB2312" w:cs="仿宋_GB2312"/>
          <w:b/>
          <w:bCs/>
          <w:color w:val="auto"/>
          <w:kern w:val="2"/>
          <w:sz w:val="32"/>
          <w:szCs w:val="32"/>
          <w:lang w:val="en-US" w:eastAsia="zh-CN" w:bidi="ar-SA"/>
        </w:rPr>
        <w:t>局</w:t>
      </w:r>
    </w:p>
    <w:p>
      <w:pPr>
        <w:wordWrap w:val="0"/>
        <w:bidi w:val="0"/>
        <w:ind w:firstLine="4819" w:firstLineChars="1500"/>
        <w:jc w:val="both"/>
        <w:rPr>
          <w:rFonts w:hint="eastAsia" w:ascii="Times New Roman" w:hAnsi="Times New Roman" w:eastAsia="仿宋_GB2312" w:cs="仿宋_GB2312"/>
          <w:b/>
          <w:bCs/>
          <w:color w:val="auto"/>
          <w:kern w:val="2"/>
          <w:sz w:val="32"/>
          <w:szCs w:val="32"/>
          <w:lang w:val="en-US" w:eastAsia="zh-CN" w:bidi="ar-SA"/>
        </w:rPr>
      </w:pPr>
      <w:r>
        <w:rPr>
          <w:rFonts w:hint="eastAsia" w:ascii="Times New Roman" w:hAnsi="Times New Roman" w:eastAsia="仿宋_GB2312" w:cs="仿宋_GB2312"/>
          <w:b/>
          <w:bCs/>
          <w:color w:val="auto"/>
          <w:kern w:val="2"/>
          <w:sz w:val="32"/>
          <w:szCs w:val="32"/>
          <w:lang w:val="en-US" w:eastAsia="zh-CN" w:bidi="ar-SA"/>
        </w:rPr>
        <w:t>二〇二三年四月二十五日</w:t>
      </w:r>
      <w:bookmarkEnd w:id="200"/>
    </w:p>
    <w:p>
      <w:pPr>
        <w:rPr>
          <w:rFonts w:hint="eastAsia" w:ascii="Times New Roman" w:hAnsi="Times New Roman" w:eastAsia="仿宋_GB2312" w:cs="仿宋_GB2312"/>
          <w:b/>
          <w:bCs/>
          <w:color w:val="auto"/>
          <w:kern w:val="2"/>
          <w:sz w:val="32"/>
          <w:szCs w:val="32"/>
          <w:lang w:val="en-US" w:eastAsia="zh-CN" w:bidi="ar-SA"/>
        </w:rPr>
      </w:pPr>
      <w:r>
        <w:rPr>
          <w:rFonts w:hint="eastAsia" w:ascii="Times New Roman" w:hAnsi="Times New Roman" w:eastAsia="仿宋_GB2312" w:cs="仿宋_GB2312"/>
          <w:b/>
          <w:bCs/>
          <w:color w:val="auto"/>
          <w:kern w:val="2"/>
          <w:sz w:val="32"/>
          <w:szCs w:val="32"/>
          <w:lang w:val="en-US" w:eastAsia="zh-CN" w:bidi="ar-SA"/>
        </w:rPr>
        <w:br w:type="page"/>
      </w:r>
    </w:p>
    <w:p>
      <w:pPr>
        <w:pStyle w:val="2"/>
        <w:rPr>
          <w:rFonts w:hint="default"/>
          <w:lang w:val="en-US" w:eastAsia="zh-CN"/>
        </w:rPr>
      </w:pPr>
      <w:bookmarkStart w:id="202" w:name="_GoBack"/>
      <w:bookmarkEnd w:id="202"/>
    </w:p>
    <w:p>
      <w:pPr>
        <w:pStyle w:val="4"/>
        <w:keepNext/>
        <w:keepLines/>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宋体" w:hAnsi="宋体" w:eastAsia="宋体" w:cs="宋体"/>
          <w:b/>
          <w:bCs/>
          <w:color w:val="auto"/>
          <w:sz w:val="21"/>
          <w:szCs w:val="21"/>
          <w:lang w:val="en-US" w:eastAsia="zh-CN"/>
        </w:rPr>
      </w:pPr>
      <w:bookmarkStart w:id="201" w:name="_Toc7602"/>
      <w:r>
        <w:rPr>
          <w:rFonts w:hint="eastAsia" w:ascii="宋体" w:hAnsi="宋体" w:eastAsia="宋体" w:cs="宋体"/>
          <w:b/>
          <w:bCs/>
          <w:color w:val="auto"/>
          <w:sz w:val="21"/>
          <w:szCs w:val="21"/>
          <w:lang w:val="en-US" w:eastAsia="zh-CN"/>
        </w:rPr>
        <w:t>附件1：项目支出绩效评分表</w:t>
      </w:r>
      <w:bookmarkEnd w:id="201"/>
    </w:p>
    <w:tbl>
      <w:tblPr>
        <w:tblStyle w:val="1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57"/>
        <w:gridCol w:w="959"/>
        <w:gridCol w:w="959"/>
        <w:gridCol w:w="959"/>
        <w:gridCol w:w="957"/>
        <w:gridCol w:w="959"/>
        <w:gridCol w:w="1141"/>
        <w:gridCol w:w="957"/>
        <w:gridCol w:w="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9"/>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部门评价评分表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7"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项目名称</w:t>
            </w:r>
          </w:p>
        </w:tc>
        <w:tc>
          <w:tcPr>
            <w:tcW w:w="3912" w:type="pct"/>
            <w:gridSpan w:val="7"/>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教育系统师资培训费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7"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主管部门</w:t>
            </w:r>
          </w:p>
        </w:tc>
        <w:tc>
          <w:tcPr>
            <w:tcW w:w="1088"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新建区教育体育局</w:t>
            </w:r>
          </w:p>
        </w:tc>
        <w:tc>
          <w:tcPr>
            <w:tcW w:w="1734"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项目实施单位</w:t>
            </w:r>
          </w:p>
        </w:tc>
        <w:tc>
          <w:tcPr>
            <w:tcW w:w="1089"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新建区教育体育局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7"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项目负责人</w:t>
            </w:r>
          </w:p>
        </w:tc>
        <w:tc>
          <w:tcPr>
            <w:tcW w:w="1088" w:type="pct"/>
            <w:gridSpan w:val="2"/>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钟秉荣</w:t>
            </w:r>
          </w:p>
        </w:tc>
        <w:tc>
          <w:tcPr>
            <w:tcW w:w="1734" w:type="pct"/>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联系电话</w:t>
            </w:r>
          </w:p>
        </w:tc>
        <w:tc>
          <w:tcPr>
            <w:tcW w:w="1089" w:type="pct"/>
            <w:gridSpan w:val="2"/>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sz w:val="20"/>
                <w:szCs w:val="20"/>
                <w:u w:val="none"/>
              </w:rPr>
              <w:t>13879160036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7"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项目类型</w:t>
            </w:r>
          </w:p>
        </w:tc>
        <w:tc>
          <w:tcPr>
            <w:tcW w:w="3912" w:type="pct"/>
            <w:gridSpan w:val="7"/>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经常性项目（√） 一次性项目（）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87"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计划投资额（万元）</w:t>
            </w:r>
          </w:p>
        </w:tc>
        <w:tc>
          <w:tcPr>
            <w:tcW w:w="54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575.00 </w:t>
            </w:r>
          </w:p>
        </w:tc>
        <w:tc>
          <w:tcPr>
            <w:tcW w:w="1631" w:type="pct"/>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实际到位资金（万元）</w:t>
            </w:r>
          </w:p>
        </w:tc>
        <w:tc>
          <w:tcPr>
            <w:tcW w:w="647"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575.00 </w:t>
            </w:r>
          </w:p>
        </w:tc>
        <w:tc>
          <w:tcPr>
            <w:tcW w:w="54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实际使用性况（万元）</w:t>
            </w:r>
          </w:p>
        </w:tc>
        <w:tc>
          <w:tcPr>
            <w:tcW w:w="54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087"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其中：中央财政</w:t>
            </w:r>
          </w:p>
        </w:tc>
        <w:tc>
          <w:tcPr>
            <w:tcW w:w="54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631" w:type="pct"/>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其中：中央财政</w:t>
            </w:r>
          </w:p>
        </w:tc>
        <w:tc>
          <w:tcPr>
            <w:tcW w:w="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其中：中央财政</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7"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省财政</w:t>
            </w:r>
          </w:p>
        </w:tc>
        <w:tc>
          <w:tcPr>
            <w:tcW w:w="54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631" w:type="pct"/>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省财政</w:t>
            </w:r>
          </w:p>
        </w:tc>
        <w:tc>
          <w:tcPr>
            <w:tcW w:w="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省财政</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7"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市县财政</w:t>
            </w:r>
          </w:p>
        </w:tc>
        <w:tc>
          <w:tcPr>
            <w:tcW w:w="54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575.00 </w:t>
            </w:r>
          </w:p>
        </w:tc>
        <w:tc>
          <w:tcPr>
            <w:tcW w:w="1631" w:type="pct"/>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市县财政</w:t>
            </w:r>
          </w:p>
        </w:tc>
        <w:tc>
          <w:tcPr>
            <w:tcW w:w="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575.00 </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市县财政</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555.00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7"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w:t>
            </w:r>
          </w:p>
        </w:tc>
        <w:tc>
          <w:tcPr>
            <w:tcW w:w="54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1631" w:type="pct"/>
            <w:gridSpan w:val="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w:t>
            </w:r>
          </w:p>
        </w:tc>
        <w:tc>
          <w:tcPr>
            <w:tcW w:w="647"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其他</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9"/>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二、绩效评价指标评分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一级指标</w:t>
            </w:r>
          </w:p>
        </w:tc>
        <w:tc>
          <w:tcPr>
            <w:tcW w:w="544"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分值</w:t>
            </w:r>
          </w:p>
        </w:tc>
        <w:tc>
          <w:tcPr>
            <w:tcW w:w="1088"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二级指标</w:t>
            </w:r>
          </w:p>
        </w:tc>
        <w:tc>
          <w:tcPr>
            <w:tcW w:w="54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分值</w:t>
            </w:r>
          </w:p>
        </w:tc>
        <w:tc>
          <w:tcPr>
            <w:tcW w:w="1191"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三级指标</w:t>
            </w:r>
          </w:p>
        </w:tc>
        <w:tc>
          <w:tcPr>
            <w:tcW w:w="54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分值</w:t>
            </w:r>
          </w:p>
        </w:tc>
        <w:tc>
          <w:tcPr>
            <w:tcW w:w="54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3"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决策</w:t>
            </w:r>
          </w:p>
        </w:tc>
        <w:tc>
          <w:tcPr>
            <w:tcW w:w="544"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1088"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项目立项</w:t>
            </w:r>
          </w:p>
        </w:tc>
        <w:tc>
          <w:tcPr>
            <w:tcW w:w="543"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19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立项依据充分性</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9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立项程序规范性</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绩效目标</w:t>
            </w:r>
          </w:p>
        </w:tc>
        <w:tc>
          <w:tcPr>
            <w:tcW w:w="543"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19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绩效目标合理性</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9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绩效指标明确性</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资金投入</w:t>
            </w:r>
          </w:p>
        </w:tc>
        <w:tc>
          <w:tcPr>
            <w:tcW w:w="543"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19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预算编制科学性</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9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资金分配合理性</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3"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过程</w:t>
            </w: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资金管理</w:t>
            </w:r>
          </w:p>
        </w:tc>
        <w:tc>
          <w:tcPr>
            <w:tcW w:w="543"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19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资金到位率</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9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预算执行率</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9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资金使用合规性</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组织实施</w:t>
            </w:r>
          </w:p>
        </w:tc>
        <w:tc>
          <w:tcPr>
            <w:tcW w:w="543"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19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管理制度健全性</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9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管理执行有效性</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43"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w:t>
            </w:r>
          </w:p>
        </w:tc>
        <w:tc>
          <w:tcPr>
            <w:tcW w:w="544"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60</w:t>
            </w:r>
          </w:p>
        </w:tc>
        <w:tc>
          <w:tcPr>
            <w:tcW w:w="1088" w:type="pct"/>
            <w:gridSpan w:val="2"/>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产出数量</w:t>
            </w:r>
          </w:p>
        </w:tc>
        <w:tc>
          <w:tcPr>
            <w:tcW w:w="543" w:type="pct"/>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191" w:type="pct"/>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完成思政素养培训120人次</w:t>
            </w:r>
          </w:p>
        </w:tc>
        <w:tc>
          <w:tcPr>
            <w:tcW w:w="54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46"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3" w:type="pct"/>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91"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完成语言能力素养培训118人次</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3" w:type="pct"/>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91"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完成新任教师岗前培训98人次</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3" w:type="pct"/>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91"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完成师训管理员培训83人次</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3" w:type="pct"/>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91"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完成责任督学年度培训66人次</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3" w:type="pct"/>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91"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完成心理健康素养培训138人次</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产出质量</w:t>
            </w:r>
          </w:p>
        </w:tc>
        <w:tc>
          <w:tcPr>
            <w:tcW w:w="543"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19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培训人员参与率</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91" w:type="pct"/>
            <w:gridSpan w:val="2"/>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培训人员合格率</w:t>
            </w:r>
          </w:p>
        </w:tc>
        <w:tc>
          <w:tcPr>
            <w:tcW w:w="543" w:type="pct"/>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546" w:type="pct"/>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产出时效</w:t>
            </w:r>
          </w:p>
        </w:tc>
        <w:tc>
          <w:tcPr>
            <w:tcW w:w="54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191" w:type="pct"/>
            <w:gridSpan w:val="2"/>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各项培训计划按期完成率</w:t>
            </w:r>
          </w:p>
        </w:tc>
        <w:tc>
          <w:tcPr>
            <w:tcW w:w="543"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46" w:type="pc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产出成本</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19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成本节约率</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3"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效益</w:t>
            </w: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社会效益</w:t>
            </w:r>
          </w:p>
        </w:tc>
        <w:tc>
          <w:tcPr>
            <w:tcW w:w="543"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19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各项培训技能通过率</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19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人员能力水平提高情况</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可持续影响</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19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建立健全教师培训管理制度</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4"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088"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满意度</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191" w:type="pct"/>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培训人员满意度≥90%</w:t>
            </w: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总分</w:t>
            </w:r>
          </w:p>
        </w:tc>
        <w:tc>
          <w:tcPr>
            <w:tcW w:w="544"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1088" w:type="pct"/>
            <w:gridSpan w:val="2"/>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1191" w:type="pct"/>
            <w:gridSpan w:val="2"/>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54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w:t>
            </w:r>
          </w:p>
        </w:tc>
        <w:tc>
          <w:tcPr>
            <w:tcW w:w="546"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 xml:space="preserve">93.86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3" w:type="pct"/>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评价等次</w:t>
            </w:r>
          </w:p>
        </w:tc>
        <w:tc>
          <w:tcPr>
            <w:tcW w:w="4456" w:type="pct"/>
            <w:gridSpan w:val="8"/>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优√ 良¨ 中¨ 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43" w:type="pct"/>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4456" w:type="pct"/>
            <w:gridSpan w:val="8"/>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100-90（含）分为优、90-80（含）分为良、80-60（含）分为中、60分以下为差</w:t>
            </w:r>
          </w:p>
        </w:tc>
      </w:tr>
    </w:tbl>
    <w:p>
      <w:pPr>
        <w:rPr>
          <w:rFonts w:hint="eastAsia" w:cs="Times New Roman"/>
          <w:color w:val="auto"/>
        </w:rPr>
      </w:pPr>
    </w:p>
    <w:sectPr>
      <w:headerReference r:id="rId9" w:type="default"/>
      <w:footerReference r:id="rId10" w:type="default"/>
      <w:pgSz w:w="11906" w:h="16838"/>
      <w:pgMar w:top="1440" w:right="1511" w:bottom="1440" w:left="179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cs="Times New Roma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9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wG/ZcoBAACcAwAADgAAAAAAAAABACAAAAAeAQAAZHJzL2Uyb0Rv&#10;Yy54bWxQSwUGAAAAAAYABgBZAQAAWgU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1"/>
                            <w:rPr>
                              <w:rFonts w:cs="Times New Roman"/>
                            </w:rPr>
                          </w:pPr>
                        </w:p>
                      </w:txbxContent>
                    </wps:txbx>
                    <wps:bodyPr wrap="none" lIns="0" tIns="0" rIns="0" bIns="0" upright="1">
                      <a:spAutoFit/>
                    </wps:bodyPr>
                  </wps:wsp>
                </a:graphicData>
              </a:graphic>
            </wp:anchor>
          </w:drawing>
        </mc:Choice>
        <mc:Fallback>
          <w:pict>
            <v:shape id="文本框 109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&#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NJWO7QAAAABQEAAA8AAAAAAAAAAQAgAAAAIgAAAGRy&#10;cy9kb3ducmV2LnhtbFBLAQIUABQAAAAIAIdO4kAtDhD91AEAAKUDAAAOAAAAAAAAAAEAIAAAAB8B&#10;AABkcnMvZTJvRG9jLnhtbFBLBQYAAAAABgAGAFkBAABlBQAAAAA=&#10;">
              <v:fill on="f" focussize="0,0"/>
              <v:stroke on="f" weight="0.5pt"/>
              <v:imagedata o:title=""/>
              <o:lock v:ext="edit" aspectratio="f"/>
              <v:textbox inset="0mm,0mm,0mm,0mm" style="mso-fit-shape-to-text:t;">
                <w:txbxContent>
                  <w:p>
                    <w:pPr>
                      <w:pStyle w:val="11"/>
                      <w:rPr>
                        <w:rFonts w:cs="Times New Roma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cs="Times New Roma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92"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udi58oBAACcAwAADgAAAGRycy9lMm9Eb2MueG1srVPNjtMwEL4j8Q6W&#10;79RpD6hE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4bimN33OLAL9+/XX78uvz8SpbV&#10;m1VWqA9QY+JDwNQ03PkB92b2Azoz8UFFm79IiWAc9T1f9ZVDIiI/Wq/W6wpDAmPzBfHZ4/MQIb2V&#10;3pJsNDTiAIuu/PQe0pg6p+Rqzt9rY8oQjfvLgZjZw3LvY4/ZSsN+mAjtfXtGPj3OvqEOV50S886h&#10;tHlNZiPOxn42jiHqQ1f2KNeDcHtM2ETpLVcYYafCOLTCblqwvBV/3kvW40+1/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dudi58oBAACcAwAADgAAAAAAAAABACAAAAAeAQAAZHJzL2Uyb0Rv&#10;Yy54bWxQSwUGAAAAAAYABgBZAQAAWgU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w:t>
                    </w:r>
                    <w:r>
                      <w:rPr>
                        <w:rFonts w:hint="eastAsia"/>
                        <w:lang w:eastAsia="zh-CN"/>
                      </w:rPr>
                      <w:fldChar w:fldCharType="end"/>
                    </w:r>
                  </w:p>
                </w:txbxContent>
              </v:textbox>
            </v:shape>
          </w:pict>
        </mc:Fallback>
      </mc:AlternateContent>
    </w:r>
  </w:p>
  <w:p>
    <w:pPr>
      <w:pStyle w:val="11"/>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default" w:cs="Times New Roman"/>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W5UHu4QEAAMEDAAAOAAAA&#10;AAAAAAEAIAAAAB4BAABkcnMvZTJvRG9jLnhtbFBLBQYAAAAABgAGAFkBAABxBQAAAAA=&#10;">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1"/>
                            <w:rPr>
                              <w:rFonts w:cs="Times New Roman"/>
                            </w:rPr>
                          </w:pPr>
                        </w:p>
                      </w:txbxContent>
                    </wps:txbx>
                    <wps:bodyPr wrap="none" lIns="0" tIns="0" rIns="0" bIns="0" upright="1">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&#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NJWO7QAAAABQEAAA8AAAAAAAAAAQAgAAAAIgAAAGRy&#10;cy9kb3ducmV2LnhtbFBLAQIUABQAAAAIAIdO4kAoW64r1AEAAKUDAAAOAAAAAAAAAAEAIAAAAB8B&#10;AABkcnMvZTJvRG9jLnhtbFBLBQYAAAAABgAGAFkBAABlBQAAAAA=&#10;">
              <v:fill on="f" focussize="0,0"/>
              <v:stroke on="f" weight="0.5pt"/>
              <v:imagedata o:title=""/>
              <o:lock v:ext="edit" aspectratio="f"/>
              <v:textbox inset="0mm,0mm,0mm,0mm" style="mso-fit-shape-to-text:t;">
                <w:txbxContent>
                  <w:p>
                    <w:pPr>
                      <w:pStyle w:val="11"/>
                      <w:rPr>
                        <w:rFonts w:cs="Times New Roma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rPr>
        <w:rFonts w:hint="eastAsia" w:ascii="宋体" w:hAnsi="宋体" w:eastAsia="宋体" w:cs="宋体"/>
        <w:sz w:val="18"/>
        <w:szCs w:val="18"/>
        <w:lang w:val="en-US"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21121E"/>
    <w:multiLevelType w:val="singleLevel"/>
    <w:tmpl w:val="7F21121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zMzIzOGYwMDg4MTM0ZDVlYjI5MGNiNzM1NTc0NmUifQ=="/>
  </w:docVars>
  <w:rsids>
    <w:rsidRoot w:val="00371E92"/>
    <w:rsid w:val="000A42A8"/>
    <w:rsid w:val="00115A21"/>
    <w:rsid w:val="00122722"/>
    <w:rsid w:val="0018761A"/>
    <w:rsid w:val="001E4074"/>
    <w:rsid w:val="00243ADE"/>
    <w:rsid w:val="0037178D"/>
    <w:rsid w:val="00371E92"/>
    <w:rsid w:val="004816ED"/>
    <w:rsid w:val="0048420F"/>
    <w:rsid w:val="00485CD1"/>
    <w:rsid w:val="00526ABA"/>
    <w:rsid w:val="0053226E"/>
    <w:rsid w:val="00567261"/>
    <w:rsid w:val="005C363F"/>
    <w:rsid w:val="00602C23"/>
    <w:rsid w:val="00610826"/>
    <w:rsid w:val="00671160"/>
    <w:rsid w:val="00681F93"/>
    <w:rsid w:val="00694287"/>
    <w:rsid w:val="0070757B"/>
    <w:rsid w:val="00726C7D"/>
    <w:rsid w:val="00746905"/>
    <w:rsid w:val="00815D33"/>
    <w:rsid w:val="00886288"/>
    <w:rsid w:val="008F4AFF"/>
    <w:rsid w:val="00903F5C"/>
    <w:rsid w:val="00932E31"/>
    <w:rsid w:val="00A41B1F"/>
    <w:rsid w:val="00AA0544"/>
    <w:rsid w:val="00B31FFD"/>
    <w:rsid w:val="00B402D7"/>
    <w:rsid w:val="00B640ED"/>
    <w:rsid w:val="00B709AE"/>
    <w:rsid w:val="00B90BCE"/>
    <w:rsid w:val="00BF6101"/>
    <w:rsid w:val="00C768D4"/>
    <w:rsid w:val="00CA5432"/>
    <w:rsid w:val="00D40A80"/>
    <w:rsid w:val="00D5379D"/>
    <w:rsid w:val="00D7206B"/>
    <w:rsid w:val="00E36790"/>
    <w:rsid w:val="00E5627E"/>
    <w:rsid w:val="00E751B0"/>
    <w:rsid w:val="00EE21DB"/>
    <w:rsid w:val="00F8384D"/>
    <w:rsid w:val="00FA4AE9"/>
    <w:rsid w:val="00FC21C2"/>
    <w:rsid w:val="00FC784D"/>
    <w:rsid w:val="01567643"/>
    <w:rsid w:val="02577FBB"/>
    <w:rsid w:val="029F4DD0"/>
    <w:rsid w:val="02D51B8F"/>
    <w:rsid w:val="037E320E"/>
    <w:rsid w:val="038318E1"/>
    <w:rsid w:val="03B15391"/>
    <w:rsid w:val="043F0BEF"/>
    <w:rsid w:val="04CC1EA1"/>
    <w:rsid w:val="04D23811"/>
    <w:rsid w:val="05283431"/>
    <w:rsid w:val="05432019"/>
    <w:rsid w:val="05A01219"/>
    <w:rsid w:val="06052BA9"/>
    <w:rsid w:val="06585F98"/>
    <w:rsid w:val="06D66EBD"/>
    <w:rsid w:val="077C7A64"/>
    <w:rsid w:val="0808579C"/>
    <w:rsid w:val="080F3BA8"/>
    <w:rsid w:val="087F5A5E"/>
    <w:rsid w:val="09540C99"/>
    <w:rsid w:val="09770A90"/>
    <w:rsid w:val="09C94AB7"/>
    <w:rsid w:val="0A5C592B"/>
    <w:rsid w:val="0AA1233E"/>
    <w:rsid w:val="0AE90E04"/>
    <w:rsid w:val="0AE95411"/>
    <w:rsid w:val="0B554854"/>
    <w:rsid w:val="0C220587"/>
    <w:rsid w:val="0C5F2D38"/>
    <w:rsid w:val="0C6F1945"/>
    <w:rsid w:val="0D270472"/>
    <w:rsid w:val="0F3155D8"/>
    <w:rsid w:val="0F317386"/>
    <w:rsid w:val="0F713C26"/>
    <w:rsid w:val="109A0F5B"/>
    <w:rsid w:val="10A51DDA"/>
    <w:rsid w:val="10B75AD1"/>
    <w:rsid w:val="10F90377"/>
    <w:rsid w:val="11592BC4"/>
    <w:rsid w:val="11F72D13"/>
    <w:rsid w:val="123822DE"/>
    <w:rsid w:val="133E2072"/>
    <w:rsid w:val="134B7D96"/>
    <w:rsid w:val="134F24D1"/>
    <w:rsid w:val="141F00F5"/>
    <w:rsid w:val="14A800EA"/>
    <w:rsid w:val="151A1002"/>
    <w:rsid w:val="153674A4"/>
    <w:rsid w:val="154F0566"/>
    <w:rsid w:val="16C91ACA"/>
    <w:rsid w:val="173F0124"/>
    <w:rsid w:val="174D4B7A"/>
    <w:rsid w:val="175C6F6A"/>
    <w:rsid w:val="17AC1CA0"/>
    <w:rsid w:val="1801640D"/>
    <w:rsid w:val="18383533"/>
    <w:rsid w:val="18A15A72"/>
    <w:rsid w:val="18D23988"/>
    <w:rsid w:val="19137AFC"/>
    <w:rsid w:val="192341E3"/>
    <w:rsid w:val="19265B0F"/>
    <w:rsid w:val="19630A84"/>
    <w:rsid w:val="199D21E8"/>
    <w:rsid w:val="19AD34F3"/>
    <w:rsid w:val="1A255D39"/>
    <w:rsid w:val="1A4A567E"/>
    <w:rsid w:val="1AFF787C"/>
    <w:rsid w:val="1BE85270"/>
    <w:rsid w:val="1C177904"/>
    <w:rsid w:val="1C1E0C92"/>
    <w:rsid w:val="1C410AFE"/>
    <w:rsid w:val="1C534494"/>
    <w:rsid w:val="1C735529"/>
    <w:rsid w:val="1C8A66C6"/>
    <w:rsid w:val="1CB05AC0"/>
    <w:rsid w:val="1CB24FE0"/>
    <w:rsid w:val="1CF87735"/>
    <w:rsid w:val="1DA97F2F"/>
    <w:rsid w:val="1DBB4363"/>
    <w:rsid w:val="1E450758"/>
    <w:rsid w:val="1E716B21"/>
    <w:rsid w:val="1E986041"/>
    <w:rsid w:val="1F7C289F"/>
    <w:rsid w:val="1FAA682B"/>
    <w:rsid w:val="1FC50BC2"/>
    <w:rsid w:val="204F58BE"/>
    <w:rsid w:val="2059498F"/>
    <w:rsid w:val="20A57BD4"/>
    <w:rsid w:val="216B6728"/>
    <w:rsid w:val="218C3E7B"/>
    <w:rsid w:val="2196693B"/>
    <w:rsid w:val="21D50045"/>
    <w:rsid w:val="22484DB8"/>
    <w:rsid w:val="22943A5C"/>
    <w:rsid w:val="22DA7E5D"/>
    <w:rsid w:val="22E569AE"/>
    <w:rsid w:val="233D40F4"/>
    <w:rsid w:val="238B4E5F"/>
    <w:rsid w:val="23A6465D"/>
    <w:rsid w:val="23F92711"/>
    <w:rsid w:val="24466FD8"/>
    <w:rsid w:val="24523BCF"/>
    <w:rsid w:val="24CD14A7"/>
    <w:rsid w:val="25902C01"/>
    <w:rsid w:val="266100F9"/>
    <w:rsid w:val="268838D8"/>
    <w:rsid w:val="27887A4F"/>
    <w:rsid w:val="279462AC"/>
    <w:rsid w:val="27F751B9"/>
    <w:rsid w:val="283C685C"/>
    <w:rsid w:val="287700A8"/>
    <w:rsid w:val="288325A9"/>
    <w:rsid w:val="28862099"/>
    <w:rsid w:val="28AB17F9"/>
    <w:rsid w:val="28DD77A6"/>
    <w:rsid w:val="295C3061"/>
    <w:rsid w:val="29736AC1"/>
    <w:rsid w:val="29910CF5"/>
    <w:rsid w:val="2996630C"/>
    <w:rsid w:val="29BA7940"/>
    <w:rsid w:val="29CE019B"/>
    <w:rsid w:val="2A0B0E0A"/>
    <w:rsid w:val="2A467D32"/>
    <w:rsid w:val="2A9860B3"/>
    <w:rsid w:val="2AB033FD"/>
    <w:rsid w:val="2B116592"/>
    <w:rsid w:val="2B41674B"/>
    <w:rsid w:val="2B710DDE"/>
    <w:rsid w:val="2B8A6344"/>
    <w:rsid w:val="2BC52ED8"/>
    <w:rsid w:val="2BFF288E"/>
    <w:rsid w:val="2C0A736B"/>
    <w:rsid w:val="2C5524AE"/>
    <w:rsid w:val="2C66290D"/>
    <w:rsid w:val="2CC427DA"/>
    <w:rsid w:val="2D270ED8"/>
    <w:rsid w:val="2D430559"/>
    <w:rsid w:val="2DA76D39"/>
    <w:rsid w:val="2DE41E6C"/>
    <w:rsid w:val="2E19750B"/>
    <w:rsid w:val="2EB21E3A"/>
    <w:rsid w:val="2ED2428A"/>
    <w:rsid w:val="2EEA14D8"/>
    <w:rsid w:val="2F0116F1"/>
    <w:rsid w:val="2F154177"/>
    <w:rsid w:val="2F650C5A"/>
    <w:rsid w:val="2F6B1FE9"/>
    <w:rsid w:val="2F991949"/>
    <w:rsid w:val="30474804"/>
    <w:rsid w:val="308E5F8F"/>
    <w:rsid w:val="30A532D8"/>
    <w:rsid w:val="30A77089"/>
    <w:rsid w:val="30FC114A"/>
    <w:rsid w:val="31921AAF"/>
    <w:rsid w:val="31C75B74"/>
    <w:rsid w:val="31E247E4"/>
    <w:rsid w:val="33775400"/>
    <w:rsid w:val="337D1A76"/>
    <w:rsid w:val="33865643"/>
    <w:rsid w:val="34586FDF"/>
    <w:rsid w:val="34767465"/>
    <w:rsid w:val="347D07F4"/>
    <w:rsid w:val="3482405C"/>
    <w:rsid w:val="34E97C37"/>
    <w:rsid w:val="353A4937"/>
    <w:rsid w:val="355F1ECF"/>
    <w:rsid w:val="35E118DD"/>
    <w:rsid w:val="36990B6A"/>
    <w:rsid w:val="379F0A81"/>
    <w:rsid w:val="37F916B4"/>
    <w:rsid w:val="389F0A5D"/>
    <w:rsid w:val="38A94CE3"/>
    <w:rsid w:val="393D2C48"/>
    <w:rsid w:val="39553AED"/>
    <w:rsid w:val="39873EC3"/>
    <w:rsid w:val="3995213C"/>
    <w:rsid w:val="39AE31FE"/>
    <w:rsid w:val="39B5257B"/>
    <w:rsid w:val="39B90520"/>
    <w:rsid w:val="39E25E47"/>
    <w:rsid w:val="3B0F7A1C"/>
    <w:rsid w:val="3B561D9F"/>
    <w:rsid w:val="3B844B5E"/>
    <w:rsid w:val="3B8C756F"/>
    <w:rsid w:val="3BE657CC"/>
    <w:rsid w:val="3C1001A0"/>
    <w:rsid w:val="3C516CC1"/>
    <w:rsid w:val="3C53008C"/>
    <w:rsid w:val="3C7324DC"/>
    <w:rsid w:val="3C8B4C64"/>
    <w:rsid w:val="3C8F5568"/>
    <w:rsid w:val="3CB44FCF"/>
    <w:rsid w:val="3CB86496"/>
    <w:rsid w:val="3CEF60DD"/>
    <w:rsid w:val="3D31661F"/>
    <w:rsid w:val="3D4E71D1"/>
    <w:rsid w:val="3D4F6799"/>
    <w:rsid w:val="3DB37034"/>
    <w:rsid w:val="3DBC05DF"/>
    <w:rsid w:val="3E027FBC"/>
    <w:rsid w:val="3E3A7756"/>
    <w:rsid w:val="3F5B7984"/>
    <w:rsid w:val="401144E6"/>
    <w:rsid w:val="402B1A4C"/>
    <w:rsid w:val="40512B35"/>
    <w:rsid w:val="40550877"/>
    <w:rsid w:val="40B557B9"/>
    <w:rsid w:val="40D043A1"/>
    <w:rsid w:val="41053DDA"/>
    <w:rsid w:val="4142704D"/>
    <w:rsid w:val="430035A8"/>
    <w:rsid w:val="43B6787E"/>
    <w:rsid w:val="43BE4985"/>
    <w:rsid w:val="442E38B9"/>
    <w:rsid w:val="44421112"/>
    <w:rsid w:val="44655740"/>
    <w:rsid w:val="44810FEE"/>
    <w:rsid w:val="44CC0C37"/>
    <w:rsid w:val="45190B81"/>
    <w:rsid w:val="45483C30"/>
    <w:rsid w:val="45801800"/>
    <w:rsid w:val="45C73FC5"/>
    <w:rsid w:val="45EA1A61"/>
    <w:rsid w:val="45F621B4"/>
    <w:rsid w:val="460F3276"/>
    <w:rsid w:val="464407B9"/>
    <w:rsid w:val="464E3D9E"/>
    <w:rsid w:val="467852BF"/>
    <w:rsid w:val="46B237AF"/>
    <w:rsid w:val="477E30E1"/>
    <w:rsid w:val="478A34FC"/>
    <w:rsid w:val="48141018"/>
    <w:rsid w:val="48384D06"/>
    <w:rsid w:val="48A44149"/>
    <w:rsid w:val="48D920B3"/>
    <w:rsid w:val="48FA1FBB"/>
    <w:rsid w:val="49555444"/>
    <w:rsid w:val="49935F6C"/>
    <w:rsid w:val="49966FE9"/>
    <w:rsid w:val="4A10465D"/>
    <w:rsid w:val="4AA77F21"/>
    <w:rsid w:val="4AE051E1"/>
    <w:rsid w:val="4AFB026D"/>
    <w:rsid w:val="4B7A67E1"/>
    <w:rsid w:val="4B8B339F"/>
    <w:rsid w:val="4C1603E0"/>
    <w:rsid w:val="4CCF19B1"/>
    <w:rsid w:val="4CD34FFD"/>
    <w:rsid w:val="4D080C33"/>
    <w:rsid w:val="4D3637DE"/>
    <w:rsid w:val="4D7C38E7"/>
    <w:rsid w:val="4EB27AB0"/>
    <w:rsid w:val="4F3F4BCC"/>
    <w:rsid w:val="501E2A33"/>
    <w:rsid w:val="504B75A0"/>
    <w:rsid w:val="507B652D"/>
    <w:rsid w:val="511B51C5"/>
    <w:rsid w:val="51431C42"/>
    <w:rsid w:val="5196484B"/>
    <w:rsid w:val="523F2D28"/>
    <w:rsid w:val="52AA2CA4"/>
    <w:rsid w:val="530D29CA"/>
    <w:rsid w:val="53375436"/>
    <w:rsid w:val="53566988"/>
    <w:rsid w:val="53DD090D"/>
    <w:rsid w:val="544B5DC1"/>
    <w:rsid w:val="5488491F"/>
    <w:rsid w:val="54DC110F"/>
    <w:rsid w:val="54E51D72"/>
    <w:rsid w:val="55825812"/>
    <w:rsid w:val="55AB169B"/>
    <w:rsid w:val="564E7369"/>
    <w:rsid w:val="56544746"/>
    <w:rsid w:val="56705FB3"/>
    <w:rsid w:val="569F23F4"/>
    <w:rsid w:val="56E10C5F"/>
    <w:rsid w:val="56EF512A"/>
    <w:rsid w:val="57250B4B"/>
    <w:rsid w:val="574A05B2"/>
    <w:rsid w:val="577E056E"/>
    <w:rsid w:val="57A52723"/>
    <w:rsid w:val="57BD4E62"/>
    <w:rsid w:val="583848AE"/>
    <w:rsid w:val="5891601F"/>
    <w:rsid w:val="58A81A34"/>
    <w:rsid w:val="58E42340"/>
    <w:rsid w:val="59293B4C"/>
    <w:rsid w:val="595079D6"/>
    <w:rsid w:val="596764E1"/>
    <w:rsid w:val="59814033"/>
    <w:rsid w:val="59D979CB"/>
    <w:rsid w:val="5AA601F5"/>
    <w:rsid w:val="5AEF11B4"/>
    <w:rsid w:val="5AFF16B3"/>
    <w:rsid w:val="5BC14BBB"/>
    <w:rsid w:val="5C25339C"/>
    <w:rsid w:val="5C5E240A"/>
    <w:rsid w:val="5CBC5AAE"/>
    <w:rsid w:val="5CD03307"/>
    <w:rsid w:val="5D152C9F"/>
    <w:rsid w:val="5D487342"/>
    <w:rsid w:val="5D4D6706"/>
    <w:rsid w:val="5D7A14C5"/>
    <w:rsid w:val="5DA32256"/>
    <w:rsid w:val="5DEA506C"/>
    <w:rsid w:val="5E712D35"/>
    <w:rsid w:val="5E8F2D4E"/>
    <w:rsid w:val="5E99597B"/>
    <w:rsid w:val="5F4973A1"/>
    <w:rsid w:val="5F6E5D78"/>
    <w:rsid w:val="5FC03B07"/>
    <w:rsid w:val="606F2E37"/>
    <w:rsid w:val="60C279B1"/>
    <w:rsid w:val="60CE7B5E"/>
    <w:rsid w:val="60F25B07"/>
    <w:rsid w:val="60F872D1"/>
    <w:rsid w:val="610604C2"/>
    <w:rsid w:val="61073070"/>
    <w:rsid w:val="624B1296"/>
    <w:rsid w:val="62A43655"/>
    <w:rsid w:val="63392FEA"/>
    <w:rsid w:val="64462101"/>
    <w:rsid w:val="64760C38"/>
    <w:rsid w:val="64FD4EB5"/>
    <w:rsid w:val="6515429F"/>
    <w:rsid w:val="65286BE3"/>
    <w:rsid w:val="660364FC"/>
    <w:rsid w:val="663C37BC"/>
    <w:rsid w:val="666A0329"/>
    <w:rsid w:val="668F26E4"/>
    <w:rsid w:val="669E4AF8"/>
    <w:rsid w:val="66C60DE4"/>
    <w:rsid w:val="67244F55"/>
    <w:rsid w:val="675D0ED1"/>
    <w:rsid w:val="67B6759E"/>
    <w:rsid w:val="67D85766"/>
    <w:rsid w:val="680B19AC"/>
    <w:rsid w:val="68DC3034"/>
    <w:rsid w:val="69686D84"/>
    <w:rsid w:val="699B4C9D"/>
    <w:rsid w:val="69A64EBE"/>
    <w:rsid w:val="69CD6811"/>
    <w:rsid w:val="69F820EF"/>
    <w:rsid w:val="69FC327E"/>
    <w:rsid w:val="6A3B3D8A"/>
    <w:rsid w:val="6A813E93"/>
    <w:rsid w:val="6A8B2F63"/>
    <w:rsid w:val="6A9A35FC"/>
    <w:rsid w:val="6ABF49BB"/>
    <w:rsid w:val="6BB43DF4"/>
    <w:rsid w:val="6C1A634D"/>
    <w:rsid w:val="6C5C6966"/>
    <w:rsid w:val="6C9F4AA4"/>
    <w:rsid w:val="6CFE7A1D"/>
    <w:rsid w:val="6D505D9E"/>
    <w:rsid w:val="6DDB1B0C"/>
    <w:rsid w:val="6E0E0133"/>
    <w:rsid w:val="6E292877"/>
    <w:rsid w:val="6E3D6B09"/>
    <w:rsid w:val="6EA14B04"/>
    <w:rsid w:val="6EA939B8"/>
    <w:rsid w:val="6F8D5088"/>
    <w:rsid w:val="708C533F"/>
    <w:rsid w:val="71265320"/>
    <w:rsid w:val="714230B1"/>
    <w:rsid w:val="71713339"/>
    <w:rsid w:val="71864485"/>
    <w:rsid w:val="718D75C1"/>
    <w:rsid w:val="71C70D25"/>
    <w:rsid w:val="721A6E0A"/>
    <w:rsid w:val="72233A82"/>
    <w:rsid w:val="72507201"/>
    <w:rsid w:val="72557A3F"/>
    <w:rsid w:val="7270316B"/>
    <w:rsid w:val="7275252F"/>
    <w:rsid w:val="72BD3ED6"/>
    <w:rsid w:val="72C94629"/>
    <w:rsid w:val="72E96A79"/>
    <w:rsid w:val="72F70417"/>
    <w:rsid w:val="730712AF"/>
    <w:rsid w:val="732D3346"/>
    <w:rsid w:val="73C44DF0"/>
    <w:rsid w:val="74273CFD"/>
    <w:rsid w:val="74274FCC"/>
    <w:rsid w:val="74707BCE"/>
    <w:rsid w:val="7530098F"/>
    <w:rsid w:val="75793E60"/>
    <w:rsid w:val="75CF01A8"/>
    <w:rsid w:val="761050D9"/>
    <w:rsid w:val="76390D37"/>
    <w:rsid w:val="7671125F"/>
    <w:rsid w:val="76A27BA2"/>
    <w:rsid w:val="76C375E1"/>
    <w:rsid w:val="774A385E"/>
    <w:rsid w:val="7750356B"/>
    <w:rsid w:val="778E4093"/>
    <w:rsid w:val="77EB66C3"/>
    <w:rsid w:val="786D5A56"/>
    <w:rsid w:val="7AEF6BF7"/>
    <w:rsid w:val="7C336359"/>
    <w:rsid w:val="7C444536"/>
    <w:rsid w:val="7C4F3DF1"/>
    <w:rsid w:val="7C844EFF"/>
    <w:rsid w:val="7C9F63FA"/>
    <w:rsid w:val="7D006E99"/>
    <w:rsid w:val="7DBD4D8A"/>
    <w:rsid w:val="7DD722F0"/>
    <w:rsid w:val="7F2F7F0A"/>
    <w:rsid w:val="7F644D7D"/>
    <w:rsid w:val="7F7E679B"/>
    <w:rsid w:val="7F98759A"/>
    <w:rsid w:val="7FB364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99"/>
    <w:pPr>
      <w:keepNext/>
      <w:keepLines/>
      <w:spacing w:line="576" w:lineRule="auto"/>
      <w:outlineLvl w:val="0"/>
    </w:pPr>
    <w:rPr>
      <w:rFonts w:eastAsia="黑体"/>
      <w:b/>
      <w:bCs/>
      <w:kern w:val="44"/>
      <w:sz w:val="32"/>
      <w:szCs w:val="32"/>
    </w:rPr>
  </w:style>
  <w:style w:type="paragraph" w:styleId="5">
    <w:name w:val="heading 2"/>
    <w:basedOn w:val="1"/>
    <w:next w:val="1"/>
    <w:qFormat/>
    <w:uiPriority w:val="99"/>
    <w:pPr>
      <w:keepNext/>
      <w:keepLines/>
      <w:spacing w:line="413" w:lineRule="auto"/>
      <w:outlineLvl w:val="1"/>
    </w:pPr>
    <w:rPr>
      <w:rFonts w:ascii="Arial" w:hAnsi="Arial" w:eastAsia="黑体" w:cs="Arial"/>
      <w:b/>
      <w:bCs/>
      <w:sz w:val="32"/>
      <w:szCs w:val="32"/>
    </w:rPr>
  </w:style>
  <w:style w:type="paragraph" w:styleId="6">
    <w:name w:val="heading 3"/>
    <w:basedOn w:val="1"/>
    <w:next w:val="1"/>
    <w:qFormat/>
    <w:uiPriority w:val="99"/>
    <w:pPr>
      <w:keepNext/>
      <w:keepLines/>
      <w:spacing w:line="413" w:lineRule="auto"/>
      <w:outlineLvl w:val="2"/>
    </w:pPr>
    <w:rPr>
      <w:b/>
      <w:bCs/>
      <w:sz w:val="32"/>
      <w:szCs w:val="32"/>
    </w:rPr>
  </w:style>
  <w:style w:type="character" w:default="1" w:styleId="18">
    <w:name w:val="Default Paragraph Font"/>
    <w:semiHidden/>
    <w:uiPriority w:val="0"/>
  </w:style>
  <w:style w:type="table" w:default="1" w:styleId="1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rPr>
      <w:b/>
      <w:bCs/>
    </w:rPr>
  </w:style>
  <w:style w:type="paragraph" w:styleId="3">
    <w:name w:val="Quote"/>
    <w:next w:val="1"/>
    <w:unhideWhenUsed/>
    <w:qFormat/>
    <w:uiPriority w:val="0"/>
    <w:pPr>
      <w:wordWrap w:val="0"/>
      <w:spacing w:before="200" w:beforeLines="0" w:after="160" w:afterLines="0"/>
      <w:ind w:left="864" w:right="864"/>
      <w:jc w:val="center"/>
    </w:pPr>
    <w:rPr>
      <w:rFonts w:hint="default" w:ascii="Times New Roman" w:hAnsi="Times New Roman" w:eastAsia="宋体" w:cs="Times New Roman"/>
      <w:i/>
      <w:sz w:val="21"/>
      <w:szCs w:val="24"/>
      <w:lang w:val="en-US" w:eastAsia="zh-CN" w:bidi="ar-SA"/>
    </w:rPr>
  </w:style>
  <w:style w:type="paragraph" w:styleId="7">
    <w:name w:val="Document Map"/>
    <w:basedOn w:val="1"/>
    <w:qFormat/>
    <w:uiPriority w:val="99"/>
    <w:rPr>
      <w:rFonts w:ascii="宋体" w:cs="宋体"/>
      <w:sz w:val="18"/>
      <w:szCs w:val="18"/>
    </w:rPr>
  </w:style>
  <w:style w:type="paragraph" w:styleId="8">
    <w:name w:val="annotation text"/>
    <w:basedOn w:val="1"/>
    <w:qFormat/>
    <w:uiPriority w:val="0"/>
    <w:pPr>
      <w:jc w:val="left"/>
    </w:pPr>
  </w:style>
  <w:style w:type="paragraph" w:styleId="9">
    <w:name w:val="toc 3"/>
    <w:basedOn w:val="1"/>
    <w:next w:val="1"/>
    <w:qFormat/>
    <w:uiPriority w:val="39"/>
    <w:pPr>
      <w:ind w:left="840" w:leftChars="400"/>
    </w:p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9016"/>
      </w:tabs>
      <w:spacing w:line="480" w:lineRule="exact"/>
    </w:pPr>
  </w:style>
  <w:style w:type="paragraph" w:styleId="14">
    <w:name w:val="toc 2"/>
    <w:basedOn w:val="1"/>
    <w:next w:val="1"/>
    <w:qFormat/>
    <w:uiPriority w:val="39"/>
    <w:pPr>
      <w:ind w:left="420" w:leftChars="200"/>
    </w:pPr>
  </w:style>
  <w:style w:type="paragraph" w:styleId="1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7">
    <w:name w:val="Table Grid"/>
    <w:basedOn w:val="16"/>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basedOn w:val="18"/>
    <w:qFormat/>
    <w:uiPriority w:val="0"/>
    <w:rPr>
      <w:color w:val="0000FF"/>
      <w:u w:val="single"/>
    </w:rPr>
  </w:style>
  <w:style w:type="character" w:customStyle="1" w:styleId="20">
    <w:name w:val="font01"/>
    <w:basedOn w:val="18"/>
    <w:qFormat/>
    <w:uiPriority w:val="0"/>
    <w:rPr>
      <w:rFonts w:ascii="Wingdings 2" w:hAnsi="Wingdings 2" w:eastAsia="Wingdings 2" w:cs="Wingdings 2"/>
      <w:color w:val="000000"/>
      <w:sz w:val="22"/>
      <w:szCs w:val="22"/>
      <w:u w:val="none"/>
    </w:rPr>
  </w:style>
  <w:style w:type="character" w:customStyle="1" w:styleId="21">
    <w:name w:val="font51"/>
    <w:basedOn w:val="18"/>
    <w:qFormat/>
    <w:uiPriority w:val="0"/>
    <w:rPr>
      <w:rFonts w:hint="eastAsia" w:ascii="仿宋" w:hAnsi="仿宋" w:eastAsia="仿宋" w:cs="仿宋"/>
      <w:color w:val="000000"/>
      <w:sz w:val="21"/>
      <w:szCs w:val="21"/>
      <w:u w:val="none"/>
    </w:rPr>
  </w:style>
  <w:style w:type="character" w:customStyle="1" w:styleId="22">
    <w:name w:val="font61"/>
    <w:basedOn w:val="18"/>
    <w:qFormat/>
    <w:uiPriority w:val="0"/>
    <w:rPr>
      <w:rFonts w:ascii="宋体" w:hAnsi="宋体" w:eastAsia="宋体" w:cs="宋体"/>
      <w:color w:val="000000"/>
      <w:sz w:val="21"/>
      <w:szCs w:val="21"/>
      <w:u w:val="none"/>
    </w:rPr>
  </w:style>
  <w:style w:type="character" w:customStyle="1" w:styleId="23">
    <w:name w:val="font71"/>
    <w:basedOn w:val="18"/>
    <w:qFormat/>
    <w:uiPriority w:val="0"/>
    <w:rPr>
      <w:rFonts w:ascii="宋体" w:hAnsi="宋体" w:eastAsia="宋体" w:cs="宋体"/>
      <w:color w:val="000000"/>
      <w:sz w:val="21"/>
      <w:szCs w:val="21"/>
      <w:u w:val="none"/>
    </w:rPr>
  </w:style>
  <w:style w:type="paragraph" w:customStyle="1" w:styleId="24">
    <w:name w:val="纯文本1"/>
    <w:basedOn w:val="1"/>
    <w:qFormat/>
    <w:uiPriority w:val="0"/>
    <w:pPr>
      <w:spacing w:line="576" w:lineRule="exact"/>
    </w:pPr>
    <w:rPr>
      <w:rFonts w:ascii="宋体" w:hAnsi="Courier New" w:cs="Courier New"/>
      <w:szCs w:val="21"/>
    </w:rPr>
  </w:style>
  <w:style w:type="paragraph" w:customStyle="1" w:styleId="25">
    <w:name w:val="正文1"/>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ncsj</Company>
  <Pages>24</Pages>
  <Words>11177</Words>
  <Characters>11836</Characters>
  <Lines>1</Lines>
  <Paragraphs>1</Paragraphs>
  <TotalTime>3</TotalTime>
  <ScaleCrop>false</ScaleCrop>
  <LinksUpToDate>false</LinksUpToDate>
  <CharactersWithSpaces>12048</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2020-10-13T07:26:00Z</dcterms:created>
  <dc:creator>ls1</dc:creator>
  <cp:lastModifiedBy>木婉清风</cp:lastModifiedBy>
  <cp:lastPrinted>2019-01-15T02:21:00Z</cp:lastPrinted>
  <dcterms:modified xsi:type="dcterms:W3CDTF">2023-04-25T02:00:04Z</dcterms:modified>
  <dc:title>南  昌  市  审  计  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7D54C31DA4174DF1A66831CDC41028ED</vt:lpwstr>
  </property>
</Properties>
</file>