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第一幼儿园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3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3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3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第一幼儿园单位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第一幼儿园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实施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幼儿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第一幼儿园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42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42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实有人数小计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70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42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42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27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jc w:val="center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第一幼儿园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3"/>
        <w:spacing w:before="171" w:line="226" w:lineRule="auto"/>
        <w:ind w:left="680"/>
      </w:pPr>
      <w:r>
        <w:rPr>
          <w:spacing w:val="3"/>
        </w:rPr>
        <w:t>（详见附表）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ind w:left="0" w:leftChars="0" w:firstLine="0" w:firstLineChars="0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3"/>
        <w:spacing w:before="101" w:line="221" w:lineRule="auto"/>
        <w:rPr>
          <w:b/>
          <w:bCs/>
          <w:spacing w:val="5"/>
        </w:rPr>
      </w:pPr>
    </w:p>
    <w:p>
      <w:pPr>
        <w:pStyle w:val="3"/>
        <w:spacing w:before="101" w:line="221" w:lineRule="auto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第一幼儿园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</w:t>
      </w:r>
      <w:r>
        <w:rPr>
          <w:b/>
          <w:bCs/>
          <w:spacing w:val="5"/>
        </w:rPr>
        <w:t>单位预算情况说明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  <w:r>
        <w:rPr>
          <w:rFonts w:ascii="楷体" w:hAnsi="楷体" w:eastAsia="楷体" w:cs="楷体"/>
          <w:b/>
          <w:bCs/>
          <w:spacing w:val="6"/>
        </w:rPr>
        <w:t>一、</w:t>
      </w:r>
      <w:r>
        <w:rPr>
          <w:rFonts w:hint="eastAsia" w:eastAsia="楷体"/>
          <w:b/>
          <w:bCs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</w:p>
    <w:p>
      <w:pPr>
        <w:pStyle w:val="3"/>
        <w:spacing w:before="101" w:line="222" w:lineRule="auto"/>
        <w:ind w:left="734"/>
      </w:pPr>
      <w:r>
        <w:rPr>
          <w:b/>
          <w:bCs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bookmarkStart w:id="0" w:name="_GoBack"/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2000.74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162.71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增长8.85%,主要原因是人员经费支出增加。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919.84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82.81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0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0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学校收费增加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1080.9万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增加79.9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</w:t>
      </w:r>
      <w:r>
        <w:rPr>
          <w:rFonts w:hint="eastAsia"/>
          <w:color w:val="auto"/>
          <w:spacing w:val="11"/>
          <w:lang w:val="en-US" w:eastAsia="zh-CN"/>
        </w:rPr>
        <w:t>增加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2000.74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162.71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增长8.85%,主要原因是人员经费支出增加</w:t>
      </w:r>
      <w:r>
        <w:rPr>
          <w:color w:val="auto"/>
          <w:spacing w:val="5"/>
        </w:rPr>
        <w:t>;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 基本支出</w:t>
      </w:r>
      <w:r>
        <w:rPr>
          <w:rFonts w:hint="eastAsia"/>
          <w:color w:val="auto"/>
          <w:spacing w:val="11"/>
          <w:lang w:val="en-US" w:eastAsia="zh-CN"/>
        </w:rPr>
        <w:t>2000.74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162.71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，主要原因是人员经费支出增加</w:t>
      </w:r>
      <w:r>
        <w:rPr>
          <w:color w:val="auto"/>
          <w:spacing w:val="6"/>
        </w:rPr>
        <w:t>;其中：工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1357.81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5"/>
        </w:rPr>
        <w:t>商品和服务支出</w:t>
      </w:r>
      <w:r>
        <w:rPr>
          <w:rFonts w:hint="eastAsia"/>
          <w:color w:val="auto"/>
          <w:spacing w:val="15"/>
          <w:lang w:val="en-US" w:eastAsia="zh-CN"/>
        </w:rPr>
        <w:t>569.44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2.49</w:t>
      </w:r>
      <w:r>
        <w:rPr>
          <w:color w:val="auto"/>
          <w:spacing w:val="15"/>
        </w:rPr>
        <w:t>万元,</w:t>
      </w:r>
      <w:r>
        <w:rPr>
          <w:color w:val="auto"/>
        </w:rPr>
        <w:t xml:space="preserve"> 资本性支出</w:t>
      </w:r>
      <w:r>
        <w:rPr>
          <w:rFonts w:hint="eastAsia"/>
          <w:color w:val="auto"/>
          <w:lang w:val="en-US" w:eastAsia="zh-CN"/>
        </w:rPr>
        <w:t>71</w:t>
      </w:r>
      <w:r>
        <w:rPr>
          <w:color w:val="auto"/>
        </w:rPr>
        <w:t>万元。项目支出</w:t>
      </w:r>
      <w:r>
        <w:rPr>
          <w:rFonts w:hint="eastAsia"/>
          <w:color w:val="auto"/>
          <w:lang w:val="en-US" w:eastAsia="zh-CN"/>
        </w:rPr>
        <w:t>0</w:t>
      </w:r>
      <w:r>
        <w:rPr>
          <w:color w:val="auto"/>
        </w:rPr>
        <w:t>万元,较上年预</w:t>
      </w:r>
      <w:r>
        <w:rPr>
          <w:color w:val="auto"/>
          <w:spacing w:val="-1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-107"/>
        </w:rPr>
        <w:t xml:space="preserve">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</w:t>
      </w:r>
      <w:r>
        <w:rPr>
          <w:rFonts w:hint="eastAsia"/>
          <w:color w:val="auto"/>
          <w:spacing w:val="15"/>
          <w:lang w:eastAsia="zh-CN"/>
        </w:rPr>
        <w:t>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0万元，</w:t>
      </w:r>
      <w:r>
        <w:rPr>
          <w:color w:val="auto"/>
          <w:spacing w:val="6"/>
        </w:rPr>
        <w:t>资本性支出（基本建设）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</w:t>
      </w:r>
      <w:r>
        <w:rPr>
          <w:color w:val="auto"/>
          <w:spacing w:val="10"/>
        </w:rPr>
        <w:t>元,资本性支出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万元，对企业补助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万元，其他支出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color w:val="auto"/>
          <w:spacing w:val="5"/>
        </w:rPr>
        <w:t>教育支出</w:t>
      </w:r>
      <w:r>
        <w:rPr>
          <w:rFonts w:hint="eastAsia"/>
          <w:color w:val="auto"/>
          <w:spacing w:val="5"/>
          <w:lang w:val="en-US" w:eastAsia="zh-CN"/>
        </w:rPr>
        <w:t>2000.74</w:t>
      </w:r>
      <w:r>
        <w:rPr>
          <w:color w:val="auto"/>
          <w:spacing w:val="5"/>
        </w:rPr>
        <w:t>万</w:t>
      </w:r>
      <w:r>
        <w:rPr>
          <w:color w:val="auto"/>
          <w:spacing w:val="17"/>
        </w:rPr>
        <w:t>元,较上年预算安排增加</w:t>
      </w:r>
      <w:r>
        <w:rPr>
          <w:rFonts w:hint="eastAsia"/>
          <w:color w:val="auto"/>
          <w:spacing w:val="17"/>
          <w:lang w:val="en-US" w:eastAsia="zh-CN"/>
        </w:rPr>
        <w:t>162.71</w:t>
      </w:r>
      <w:r>
        <w:rPr>
          <w:color w:val="auto"/>
          <w:spacing w:val="17"/>
        </w:rPr>
        <w:t>万元</w:t>
      </w:r>
      <w:r>
        <w:rPr>
          <w:rFonts w:hint="eastAsia"/>
          <w:color w:val="auto"/>
          <w:spacing w:val="11"/>
          <w:lang w:val="en-US" w:eastAsia="en-US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增长8.85%,主要原因是人员经费支出增加</w:t>
      </w:r>
      <w:r>
        <w:rPr>
          <w:rFonts w:hint="eastAsia"/>
          <w:color w:va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1357.81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532.6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569.44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eastAsia="zh-CN"/>
        </w:rPr>
        <w:t>减少</w:t>
      </w:r>
      <w:r>
        <w:rPr>
          <w:rFonts w:hint="eastAsia"/>
          <w:color w:val="auto"/>
          <w:spacing w:val="12"/>
          <w:lang w:val="en-US" w:eastAsia="zh-CN"/>
        </w:rPr>
        <w:t>431.27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</w:t>
      </w:r>
      <w:r>
        <w:rPr>
          <w:rFonts w:hint="eastAsia"/>
          <w:color w:val="auto"/>
          <w:spacing w:val="12"/>
          <w:lang w:eastAsia="zh-CN"/>
        </w:rPr>
        <w:t>减少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color w:val="auto"/>
          <w:spacing w:val="-155"/>
        </w:rPr>
        <w:t xml:space="preserve"> 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2.49</w:t>
      </w:r>
      <w:r>
        <w:rPr>
          <w:color w:val="auto"/>
          <w:spacing w:val="6"/>
        </w:rPr>
        <w:t>万元,较上年预算安排增加</w:t>
      </w:r>
      <w:r>
        <w:rPr>
          <w:rFonts w:hint="eastAsia"/>
          <w:color w:val="auto"/>
          <w:spacing w:val="6"/>
          <w:lang w:val="en-US" w:eastAsia="zh-CN"/>
        </w:rPr>
        <w:t>0.38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主要原因是学校生活补助增加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color w:val="auto"/>
          <w:spacing w:val="-6"/>
        </w:rPr>
        <w:t>万元，较上年预算安排增加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71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排增加</w:t>
      </w:r>
      <w:r>
        <w:rPr>
          <w:rFonts w:hint="eastAsia"/>
          <w:color w:val="auto"/>
          <w:spacing w:val="6"/>
          <w:lang w:val="en-US" w:eastAsia="zh-CN"/>
        </w:rPr>
        <w:t>10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主要原因是学校政府采购增加</w:t>
      </w:r>
      <w:r>
        <w:rPr>
          <w:color w:val="auto"/>
          <w:spacing w:val="6"/>
        </w:rPr>
        <w:t>；对企业补助（基本建设）</w:t>
      </w:r>
      <w:r>
        <w:rPr>
          <w:rFonts w:hint="eastAsia"/>
          <w:color w:val="auto"/>
          <w:spacing w:val="6"/>
          <w:lang w:val="en-US" w:eastAsia="zh-CN"/>
        </w:rPr>
        <w:t>0万元，较</w:t>
      </w:r>
      <w:r>
        <w:rPr>
          <w:color w:val="auto"/>
          <w:spacing w:val="20"/>
        </w:rPr>
        <w:t>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3"/>
          <w:lang w:val="en-US" w:eastAsia="zh-CN"/>
        </w:rPr>
        <w:t>0万元，</w:t>
      </w:r>
      <w:r>
        <w:rPr>
          <w:color w:val="auto"/>
          <w:spacing w:val="3"/>
        </w:rPr>
        <w:t>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919.84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82.81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9.89%，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left"/>
        <w:textAlignment w:val="baseline"/>
        <w:rPr>
          <w:color w:val="auto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rFonts w:hint="eastAsia" w:eastAsia="仿宋"/>
          <w:color w:val="auto"/>
          <w:lang w:val="en-US" w:eastAsia="zh-CN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919.84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82.81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9.89%，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919.84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82.81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907.81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9.54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2.49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-151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rFonts w:hint="eastAsia"/>
          <w:color w:val="auto"/>
          <w:spacing w:val="-124"/>
          <w:lang w:val="en-US" w:eastAsia="zh-CN"/>
        </w:rPr>
        <w:t xml:space="preserve">     </w:t>
      </w:r>
      <w:r>
        <w:rPr>
          <w:color w:val="auto"/>
          <w:spacing w:val="11"/>
        </w:rPr>
        <w:t>万元。项目支出</w:t>
      </w:r>
      <w:r>
        <w:rPr>
          <w:rFonts w:hint="eastAsia"/>
          <w:color w:val="auto"/>
          <w:spacing w:val="-148"/>
          <w:lang w:val="en-US" w:eastAsia="zh-CN"/>
        </w:rPr>
        <w:t xml:space="preserve">0        </w:t>
      </w:r>
      <w:r>
        <w:rPr>
          <w:color w:val="auto"/>
          <w:spacing w:val="11"/>
        </w:rPr>
        <w:t>万元,较上年预</w:t>
      </w:r>
      <w:r>
        <w:rPr>
          <w:color w:val="auto"/>
          <w:spacing w:val="10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-148"/>
          <w:lang w:val="en-US" w:eastAsia="zh-CN"/>
        </w:rPr>
        <w:t xml:space="preserve">0           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5"/>
        </w:rPr>
        <w:t>万元,债务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6"/>
        </w:rPr>
        <w:t>万元，资本性支出（基本建设）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元,资本性支出</w:t>
      </w:r>
      <w:r>
        <w:rPr>
          <w:color w:val="auto"/>
          <w:spacing w:val="-151"/>
        </w:rPr>
        <w:t xml:space="preserve"> 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1"/>
        </w:rPr>
        <w:t>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          </w:t>
      </w:r>
      <w:r>
        <w:rPr>
          <w:color w:val="auto"/>
          <w:spacing w:val="11"/>
        </w:rPr>
        <w:t>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5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</w:t>
      </w:r>
      <w:bookmarkEnd w:id="0"/>
      <w:r>
        <w:rPr>
          <w:spacing w:val="19"/>
        </w:rPr>
        <w:t>货物预算</w:t>
      </w:r>
      <w:r>
        <w:rPr>
          <w:rFonts w:hint="eastAsia"/>
          <w:spacing w:val="19"/>
          <w:lang w:val="en-US" w:eastAsia="zh-CN"/>
        </w:rPr>
        <w:t>5</w:t>
      </w:r>
      <w:r>
        <w:rPr>
          <w:spacing w:val="19"/>
        </w:rPr>
        <w:t>万元, 政府采购工程预算</w:t>
      </w:r>
      <w:r>
        <w:rPr>
          <w:rFonts w:hint="eastAsia"/>
          <w:spacing w:val="-139"/>
          <w:lang w:val="en-US" w:eastAsia="zh-CN"/>
        </w:rPr>
        <w:t xml:space="preserve">0           </w:t>
      </w:r>
      <w:r>
        <w:rPr>
          <w:spacing w:val="19"/>
        </w:rPr>
        <w:t>万元,</w:t>
      </w:r>
      <w:r>
        <w:rPr>
          <w:spacing w:val="4"/>
        </w:rPr>
        <w:t>政府采购服务预算</w:t>
      </w:r>
      <w:r>
        <w:rPr>
          <w:rFonts w:hint="eastAsia"/>
          <w:spacing w:val="4"/>
          <w:lang w:val="en-US" w:eastAsia="zh-CN"/>
        </w:rPr>
        <w:t>0</w:t>
      </w:r>
      <w:r>
        <w:rPr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</w:pPr>
      <w:r>
        <w:rPr>
          <w:b/>
          <w:bCs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</w:pPr>
      <w:r>
        <w:rPr>
          <w:spacing w:val="-1"/>
        </w:rPr>
        <w:t>截至</w:t>
      </w:r>
      <w:r>
        <w:rPr>
          <w:rFonts w:hint="eastAsia"/>
          <w:spacing w:val="-1"/>
          <w:lang w:val="en-US" w:eastAsia="zh-CN"/>
        </w:rPr>
        <w:t>2023</w:t>
      </w:r>
      <w:r>
        <w:rPr>
          <w:spacing w:val="-1"/>
        </w:rPr>
        <w:t>年7</w:t>
      </w:r>
      <w:r>
        <w:rPr>
          <w:spacing w:val="-43"/>
        </w:rPr>
        <w:t xml:space="preserve"> </w:t>
      </w:r>
      <w:r>
        <w:rPr>
          <w:spacing w:val="-1"/>
        </w:rPr>
        <w:t>月</w:t>
      </w:r>
      <w:r>
        <w:rPr>
          <w:spacing w:val="-36"/>
        </w:rPr>
        <w:t xml:space="preserve"> </w:t>
      </w:r>
      <w:r>
        <w:rPr>
          <w:spacing w:val="-1"/>
        </w:rPr>
        <w:t>31 日（各级财政编制部门预算基</w:t>
      </w:r>
      <w:r>
        <w:rPr>
          <w:spacing w:val="13"/>
        </w:rPr>
        <w:t>础信息上报截止时间）, 单位共有车辆</w:t>
      </w:r>
      <w:r>
        <w:rPr>
          <w:rFonts w:hint="eastAsia"/>
          <w:spacing w:val="13"/>
          <w:lang w:val="en-US" w:eastAsia="zh-CN"/>
        </w:rPr>
        <w:t>0</w:t>
      </w:r>
      <w:r>
        <w:rPr>
          <w:spacing w:val="-143"/>
        </w:rPr>
        <w:t xml:space="preserve"> </w:t>
      </w:r>
      <w:r>
        <w:rPr>
          <w:spacing w:val="13"/>
        </w:rPr>
        <w:t>辆,其中：一般</w:t>
      </w:r>
      <w:r>
        <w:rPr>
          <w:spacing w:val="6"/>
        </w:rPr>
        <w:t>公务用车实有数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</w:pPr>
      <w:r>
        <w:rPr>
          <w:spacing w:val="8"/>
        </w:rPr>
        <w:t>202</w:t>
      </w:r>
      <w:r>
        <w:rPr>
          <w:rFonts w:hint="eastAsia"/>
          <w:spacing w:val="8"/>
          <w:lang w:val="en-US" w:eastAsia="zh-CN"/>
        </w:rPr>
        <w:t>4</w:t>
      </w:r>
      <w:r>
        <w:rPr>
          <w:spacing w:val="-44"/>
        </w:rPr>
        <w:t xml:space="preserve"> </w:t>
      </w:r>
      <w:r>
        <w:rPr>
          <w:spacing w:val="8"/>
        </w:rPr>
        <w:t>年单位预算安排购置车辆</w:t>
      </w:r>
      <w:r>
        <w:rPr>
          <w:rFonts w:hint="eastAsia"/>
          <w:spacing w:val="8"/>
          <w:lang w:val="en-US" w:eastAsia="zh-CN"/>
        </w:rPr>
        <w:t>0</w:t>
      </w:r>
      <w:r>
        <w:rPr>
          <w:spacing w:val="-138"/>
        </w:rPr>
        <w:t xml:space="preserve"> </w:t>
      </w:r>
      <w:r>
        <w:rPr>
          <w:spacing w:val="8"/>
        </w:rPr>
        <w:t>辆，</w:t>
      </w:r>
      <w:r>
        <w:rPr>
          <w:rFonts w:hint="eastAsia"/>
          <w:spacing w:val="8"/>
          <w:lang w:eastAsia="zh-CN"/>
        </w:rPr>
        <w:t>未</w:t>
      </w:r>
      <w:r>
        <w:rPr>
          <w:spacing w:val="8"/>
        </w:rPr>
        <w:t>安排购置单位</w:t>
      </w:r>
      <w:r>
        <w:rPr>
          <w:spacing w:val="4"/>
        </w:rPr>
        <w:t>价值</w:t>
      </w:r>
      <w:r>
        <w:rPr>
          <w:spacing w:val="-30"/>
        </w:rPr>
        <w:t xml:space="preserve"> </w:t>
      </w:r>
      <w:r>
        <w:rPr>
          <w:spacing w:val="4"/>
        </w:rPr>
        <w:t>200</w:t>
      </w:r>
      <w:r>
        <w:rPr>
          <w:spacing w:val="-47"/>
        </w:rPr>
        <w:t xml:space="preserve"> </w:t>
      </w:r>
      <w:r>
        <w:rPr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</w:pPr>
      <w:r>
        <w:rPr>
          <w:b/>
          <w:bCs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sz w:val="21"/>
        </w:rPr>
      </w:pPr>
      <w:r>
        <w:rPr>
          <w:b w:val="0"/>
          <w:bCs w:val="0"/>
          <w:spacing w:val="6"/>
          <w:position w:val="20"/>
        </w:rPr>
        <w:t>本单位本年度</w:t>
      </w:r>
      <w:r>
        <w:rPr>
          <w:b w:val="0"/>
          <w:bCs w:val="0"/>
          <w:spacing w:val="5"/>
          <w:position w:val="20"/>
        </w:rPr>
        <w:t>未安排</w:t>
      </w:r>
      <w:r>
        <w:rPr>
          <w:rFonts w:hint="eastAsia"/>
          <w:b w:val="0"/>
          <w:bCs w:val="0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1.44</w:t>
      </w:r>
      <w:r>
        <w:rPr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1.44</w:t>
      </w:r>
      <w:r>
        <w:rPr>
          <w:spacing w:val="6"/>
        </w:rPr>
        <w:t>万元,比上年减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0.16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eastAsia="zh-CN"/>
        </w:rPr>
        <w:t>区</w:t>
      </w:r>
      <w:r>
        <w:rPr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684895" cy="565213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84895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79510" cy="1879600"/>
            <wp:effectExtent l="0" t="0" r="635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7951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35695" cy="2788285"/>
            <wp:effectExtent l="0" t="0" r="1206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35695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15375" cy="5275580"/>
            <wp:effectExtent l="0" t="0" r="127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5375" cy="52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22690" cy="2836545"/>
            <wp:effectExtent l="0" t="0" r="1905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269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93785" cy="4961255"/>
            <wp:effectExtent l="0" t="0" r="10795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3785" cy="49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29015" cy="1628140"/>
            <wp:effectExtent l="0" t="0" r="1016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901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750935" cy="1868805"/>
            <wp:effectExtent l="0" t="0" r="17145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093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54110" cy="1648460"/>
            <wp:effectExtent l="0" t="0" r="889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411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664575" cy="2205990"/>
            <wp:effectExtent l="0" t="0" r="381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64575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23935" cy="1832610"/>
            <wp:effectExtent l="0" t="0" r="1524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393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YWQxZDM3MmYzNWM4ZGFhNmM0ZmFjYjFkYWRlYTYifQ=="/>
  </w:docVars>
  <w:rsids>
    <w:rsidRoot w:val="28C32CA0"/>
    <w:rsid w:val="28C32CA0"/>
    <w:rsid w:val="38D00A3B"/>
    <w:rsid w:val="48E10C0D"/>
    <w:rsid w:val="50620C6C"/>
    <w:rsid w:val="568858F2"/>
    <w:rsid w:val="7D6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2781</Words>
  <Characters>3044</Characters>
  <Lines>0</Lines>
  <Paragraphs>0</Paragraphs>
  <TotalTime>0</TotalTime>
  <ScaleCrop>false</ScaleCrop>
  <LinksUpToDate>false</LinksUpToDate>
  <CharactersWithSpaces>3336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2024-02-27T03:20:53Z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A771B00F27E043039335797F21A0F56B_13</vt:lpwstr>
  </property>
</Properties>
</file>