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南昌市新建区第六中学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36"/>
          <w:szCs w:val="36"/>
        </w:rPr>
        <w:t>年单位预算</w:t>
      </w:r>
    </w:p>
    <w:p>
      <w:pPr>
        <w:spacing w:line="340" w:lineRule="auto"/>
        <w:rPr>
          <w:rFonts w:ascii="Arial"/>
          <w:color w:val="auto"/>
          <w:sz w:val="36"/>
          <w:szCs w:val="36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36"/>
          <w:szCs w:val="36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3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3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spacing w:line="222" w:lineRule="auto"/>
        <w:rPr>
          <w:color w:val="auto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南昌市新建区第六中学单位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第六中学，实施义务教育，促进基础教育发展。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line="560" w:lineRule="exact"/>
        <w:ind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南昌市新建区第六中学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人。实有人数小计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136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115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21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spacing w:line="268" w:lineRule="auto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南昌市新建区第六中学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3"/>
        <w:spacing w:before="171" w:line="226" w:lineRule="auto"/>
        <w:ind w:left="680"/>
        <w:rPr>
          <w:rFonts w:ascii="Arial"/>
          <w:color w:val="auto"/>
          <w:sz w:val="21"/>
        </w:rPr>
      </w:pPr>
      <w:r>
        <w:rPr>
          <w:color w:val="auto"/>
          <w:spacing w:val="3"/>
        </w:rPr>
        <w:t>（详见附表）</w:t>
      </w: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3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  <w:lang w:eastAsia="zh-CN"/>
        </w:rPr>
        <w:t>南昌市新建区第六中学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3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auto"/>
          <w:spacing w:val="11"/>
          <w:lang w:val="en-US" w:eastAsia="en-US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9341.39</w:t>
      </w:r>
      <w:r>
        <w:rPr>
          <w:rFonts w:hint="eastAsia"/>
          <w:color w:val="auto"/>
          <w:spacing w:val="11"/>
          <w:lang w:val="en-US" w:eastAsia="en-US"/>
        </w:rPr>
        <w:t xml:space="preserve">万元,较上年预算安排 </w:t>
      </w:r>
      <w:r>
        <w:rPr>
          <w:rFonts w:hint="eastAsia"/>
          <w:color w:val="auto"/>
          <w:spacing w:val="11"/>
          <w:lang w:val="en-US" w:eastAsia="zh-CN"/>
        </w:rPr>
        <w:t>增加3835.3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增长69.66%,主要原因是人员经费增加。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2341.49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275.4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;教育收费资金收入</w:t>
      </w:r>
      <w:r>
        <w:rPr>
          <w:rFonts w:hint="eastAsia"/>
          <w:color w:val="auto"/>
          <w:spacing w:val="11"/>
          <w:lang w:val="en-US" w:eastAsia="zh-CN"/>
        </w:rPr>
        <w:t>2500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减少500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学校收费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val="en-US" w:eastAsia="zh-CN"/>
        </w:rPr>
        <w:t>减少</w:t>
      </w:r>
      <w:r>
        <w:rPr>
          <w:rFonts w:hint="eastAsia"/>
          <w:color w:val="auto"/>
          <w:spacing w:val="11"/>
          <w:lang w:val="en-US" w:eastAsia="en-US"/>
        </w:rPr>
        <w:t>;其他收入</w:t>
      </w:r>
      <w:r>
        <w:rPr>
          <w:rFonts w:hint="eastAsia"/>
          <w:color w:val="auto"/>
          <w:spacing w:val="11"/>
          <w:lang w:val="en-US" w:eastAsia="zh-CN"/>
        </w:rPr>
        <w:t>4499.9万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减少3059.9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学校课后服务、其他单位拨款减少</w:t>
      </w:r>
      <w:r>
        <w:rPr>
          <w:rFonts w:hint="eastAsia"/>
          <w:color w:val="auto"/>
          <w:spacing w:val="11"/>
          <w:lang w:val="en-US" w:eastAsia="en-US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9341.39</w:t>
      </w:r>
      <w:r>
        <w:rPr>
          <w:rFonts w:hint="eastAsia"/>
          <w:color w:val="auto"/>
          <w:spacing w:val="11"/>
          <w:lang w:val="en-US" w:eastAsia="en-US"/>
        </w:rPr>
        <w:t>万元,较上年预算安排 增加</w:t>
      </w:r>
      <w:r>
        <w:rPr>
          <w:rFonts w:hint="eastAsia"/>
          <w:color w:val="auto"/>
          <w:spacing w:val="11"/>
          <w:lang w:val="en-US" w:eastAsia="zh-CN"/>
        </w:rPr>
        <w:t>3835.3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，增长69.66%,主要原因是人员经费增加。</w:t>
      </w:r>
      <w:r>
        <w:rPr>
          <w:color w:val="auto"/>
          <w:spacing w:val="5"/>
        </w:rPr>
        <w:t>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rFonts w:hint="eastAsia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按支出项目类别划分：基本支出9341.39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3835.3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，主要原因是人员经费支出增加;其中：工资福利支出5760.19万元, 商品和服务支出3520.49万元,对个人和家庭的补助2.71万元, 资本性支出58万元。项目支出0万元,较上年预算安排增加0万元;其中：工资福利支出0万元,商品和服务支出0万元,对个人和家庭的补助0万元,债务利息及费用支出0万元，资本性支出（基本建设）0万元,资本性支出0万元，对企业补助0万元，其他支出0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/>
          <w:color w:val="auto"/>
          <w:lang w:eastAsia="zh-CN"/>
        </w:rPr>
      </w:pPr>
      <w:r>
        <w:rPr>
          <w:color w:val="auto"/>
          <w:spacing w:val="5"/>
        </w:rPr>
        <w:t>按支出功能科目划分：教育支出</w:t>
      </w:r>
      <w:r>
        <w:rPr>
          <w:rFonts w:hint="eastAsia"/>
          <w:color w:val="auto"/>
          <w:spacing w:val="5"/>
          <w:lang w:val="en-US" w:eastAsia="zh-CN"/>
        </w:rPr>
        <w:t>9341.39</w:t>
      </w:r>
      <w:r>
        <w:rPr>
          <w:color w:val="auto"/>
          <w:spacing w:val="5"/>
        </w:rPr>
        <w:t>万</w:t>
      </w:r>
      <w:r>
        <w:rPr>
          <w:color w:val="auto"/>
          <w:spacing w:val="17"/>
        </w:rPr>
        <w:t>元,较上年预算安排增加</w:t>
      </w:r>
      <w:r>
        <w:rPr>
          <w:rFonts w:hint="eastAsia"/>
          <w:color w:val="auto"/>
          <w:spacing w:val="17"/>
          <w:lang w:val="en-US" w:eastAsia="zh-CN"/>
        </w:rPr>
        <w:t>3835.3</w:t>
      </w:r>
      <w:r>
        <w:rPr>
          <w:color w:val="auto"/>
          <w:spacing w:val="17"/>
        </w:rPr>
        <w:t>万元</w:t>
      </w:r>
      <w:r>
        <w:rPr>
          <w:rFonts w:hint="eastAsia"/>
          <w:color w:val="auto"/>
          <w:spacing w:val="17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增长69.66%,主要原因是人员经费增加</w:t>
      </w:r>
      <w:r>
        <w:rPr>
          <w:rFonts w:hint="eastAsia"/>
          <w:color w:va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72" w:firstLineChars="200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5760.19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2382.16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3520.49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较上年预算安排增加</w:t>
      </w:r>
      <w:r>
        <w:rPr>
          <w:rFonts w:hint="eastAsia"/>
          <w:color w:val="auto"/>
          <w:spacing w:val="12"/>
          <w:lang w:val="en-US" w:eastAsia="zh-CN"/>
        </w:rPr>
        <w:t>1514.88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主要原因是学校公用开支增加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2.71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val="en-US" w:eastAsia="zh-CN"/>
        </w:rPr>
        <w:t>减少0.26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rFonts w:hint="eastAsia"/>
          <w:color w:val="auto"/>
          <w:spacing w:val="-6"/>
          <w:lang w:val="en-US" w:eastAsia="zh-CN"/>
        </w:rPr>
        <w:t>0万</w:t>
      </w:r>
      <w:r>
        <w:rPr>
          <w:color w:val="auto"/>
          <w:spacing w:val="-6"/>
        </w:rPr>
        <w:t>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58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val="en-US" w:eastAsia="zh-CN"/>
        </w:rPr>
        <w:t>减少62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bookmarkStart w:id="0" w:name="_GoBack"/>
      <w:r>
        <w:rPr>
          <w:rFonts w:hint="eastAsia"/>
          <w:color w:val="auto"/>
          <w:spacing w:val="11"/>
          <w:lang w:val="en-US" w:eastAsia="zh-CN"/>
        </w:rPr>
        <w:t>主要原因是学校政府采购减少</w:t>
      </w:r>
      <w:bookmarkEnd w:id="0"/>
      <w:r>
        <w:rPr>
          <w:color w:val="auto"/>
          <w:spacing w:val="6"/>
        </w:rPr>
        <w:t>；对企业补助（基本建设</w:t>
      </w:r>
      <w:r>
        <w:rPr>
          <w:rFonts w:hint="eastAsia"/>
          <w:color w:val="auto"/>
          <w:spacing w:val="6"/>
          <w:lang w:eastAsia="zh-CN"/>
        </w:rPr>
        <w:t>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3"/>
          <w:lang w:val="en-US" w:eastAsia="zh-CN"/>
        </w:rPr>
        <w:t>0万</w:t>
      </w:r>
      <w:r>
        <w:rPr>
          <w:color w:val="auto"/>
          <w:spacing w:val="3"/>
        </w:rPr>
        <w:t>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2341.59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275.40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13.33%，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auto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2341.59</w:t>
      </w:r>
      <w:r>
        <w:rPr>
          <w:color w:val="auto"/>
          <w:spacing w:val="11"/>
        </w:rPr>
        <w:t>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275.40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，增长</w:t>
      </w:r>
      <w:r>
        <w:rPr>
          <w:rFonts w:hint="eastAsia"/>
          <w:color w:val="auto"/>
          <w:spacing w:val="5"/>
          <w:lang w:val="en-US" w:eastAsia="zh-CN"/>
        </w:rPr>
        <w:t>13.33%，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2341.59</w:t>
      </w:r>
      <w:r>
        <w:rPr>
          <w:color w:val="auto"/>
          <w:spacing w:val="11"/>
        </w:rPr>
        <w:t>万元,较上年预</w:t>
      </w:r>
      <w:r>
        <w:rPr>
          <w:color w:val="auto"/>
          <w:spacing w:val="5"/>
        </w:rPr>
        <w:t>算安排增加</w:t>
      </w:r>
      <w:r>
        <w:rPr>
          <w:rFonts w:hint="eastAsia"/>
          <w:color w:val="auto"/>
          <w:spacing w:val="5"/>
          <w:lang w:val="en-US" w:eastAsia="zh-CN"/>
        </w:rPr>
        <w:t>275.40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color w:val="auto"/>
          <w:spacing w:val="5"/>
        </w:rPr>
        <w:t>;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2313.66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25.12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2.71</w:t>
      </w:r>
      <w:r>
        <w:rPr>
          <w:color w:val="auto"/>
          <w:spacing w:val="10"/>
        </w:rPr>
        <w:t>万元，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。项目支出</w:t>
      </w:r>
      <w:r>
        <w:rPr>
          <w:rFonts w:hint="eastAsia"/>
          <w:color w:val="auto"/>
          <w:spacing w:val="11"/>
          <w:lang w:val="en-US" w:eastAsia="zh-CN"/>
        </w:rPr>
        <w:t>126.81万元</w:t>
      </w:r>
      <w:r>
        <w:rPr>
          <w:color w:val="auto"/>
          <w:spacing w:val="11"/>
        </w:rPr>
        <w:t>较上年预</w:t>
      </w:r>
      <w:r>
        <w:rPr>
          <w:color w:val="auto"/>
          <w:spacing w:val="10"/>
        </w:rPr>
        <w:t>算安排</w:t>
      </w:r>
      <w:r>
        <w:rPr>
          <w:color w:val="auto"/>
          <w:spacing w:val="5"/>
        </w:rPr>
        <w:t>增加</w:t>
      </w:r>
      <w:r>
        <w:rPr>
          <w:rFonts w:hint="eastAsia"/>
          <w:color w:val="auto"/>
          <w:spacing w:val="-148"/>
          <w:lang w:val="en-US" w:eastAsia="zh-CN"/>
        </w:rPr>
        <w:t xml:space="preserve">0            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72万</w:t>
      </w:r>
      <w:r>
        <w:rPr>
          <w:color w:val="auto"/>
          <w:spacing w:val="5"/>
        </w:rPr>
        <w:t>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54.81万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6"/>
        </w:rPr>
        <w:t>元，资本性支出（基本建设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color w:val="auto"/>
          <w:spacing w:val="-151"/>
        </w:rPr>
        <w:t xml:space="preserve"> </w:t>
      </w:r>
      <w:r>
        <w:rPr>
          <w:rFonts w:hint="eastAsia"/>
          <w:color w:val="auto"/>
          <w:spacing w:val="-148"/>
          <w:lang w:val="en-US" w:eastAsia="zh-CN"/>
        </w:rPr>
        <w:t xml:space="preserve">0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-148"/>
          <w:lang w:val="en-US" w:eastAsia="zh-CN"/>
        </w:rPr>
        <w:t xml:space="preserve">0                         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rFonts w:hint="eastAsia"/>
          <w:color w:val="auto"/>
          <w:spacing w:val="11"/>
          <w:lang w:eastAsia="zh-CN"/>
        </w:rPr>
        <w:t>元，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auto"/>
          <w:spacing w:val="-2"/>
        </w:rPr>
      </w:pPr>
      <w:r>
        <w:rPr>
          <w:b/>
          <w:bCs/>
          <w:color w:val="auto"/>
          <w:spacing w:val="-2"/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color w:val="auto"/>
          <w:sz w:val="21"/>
        </w:rPr>
      </w:pPr>
      <w:r>
        <w:rPr>
          <w:rFonts w:hint="eastAsia"/>
          <w:color w:val="auto"/>
          <w:spacing w:val="7"/>
          <w:lang w:eastAsia="zh-CN"/>
        </w:rPr>
        <w:t>本单位没有使用政府性基金预算拨款安排的支出。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auto"/>
          <w:spacing w:val="7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2"/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rFonts w:hint="eastAsia"/>
          <w:color w:val="auto"/>
          <w:spacing w:val="7"/>
          <w:lang w:eastAsia="zh-CN"/>
        </w:rPr>
        <w:t>本单位非行政</w:t>
      </w:r>
      <w:r>
        <w:rPr>
          <w:color w:val="auto"/>
          <w:spacing w:val="7"/>
        </w:rPr>
        <w:t>参公单位，无机关运行经费</w:t>
      </w:r>
      <w:r>
        <w:rPr>
          <w:rFonts w:hint="eastAsia"/>
          <w:color w:val="auto"/>
          <w:spacing w:val="7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年单位政府采购</w:t>
      </w:r>
      <w:r>
        <w:rPr>
          <w:rFonts w:hint="eastAsia"/>
          <w:color w:val="auto"/>
          <w:spacing w:val="11"/>
          <w:lang w:val="en-US" w:eastAsia="zh-CN"/>
        </w:rPr>
        <w:t>预算</w:t>
      </w:r>
      <w:r>
        <w:rPr>
          <w:color w:val="auto"/>
          <w:spacing w:val="11"/>
        </w:rPr>
        <w:t>总额</w:t>
      </w:r>
      <w:r>
        <w:rPr>
          <w:rFonts w:hint="eastAsia"/>
          <w:color w:val="auto"/>
          <w:spacing w:val="11"/>
          <w:lang w:val="en-US" w:eastAsia="zh-CN"/>
        </w:rPr>
        <w:t>58</w:t>
      </w:r>
      <w:r>
        <w:rPr>
          <w:color w:val="auto"/>
          <w:spacing w:val="11"/>
        </w:rPr>
        <w:t>万元,其中: 政</w:t>
      </w:r>
      <w:r>
        <w:rPr>
          <w:color w:val="auto"/>
          <w:spacing w:val="19"/>
        </w:rPr>
        <w:t>府采购货物预算</w:t>
      </w:r>
      <w:r>
        <w:rPr>
          <w:rFonts w:hint="eastAsia"/>
          <w:color w:val="auto"/>
          <w:spacing w:val="19"/>
          <w:lang w:val="en-US" w:eastAsia="zh-CN"/>
        </w:rPr>
        <w:t>58</w:t>
      </w:r>
      <w:r>
        <w:rPr>
          <w:color w:val="auto"/>
          <w:spacing w:val="19"/>
        </w:rPr>
        <w:t>万元,政府采购工程预算</w:t>
      </w:r>
      <w:r>
        <w:rPr>
          <w:rFonts w:hint="eastAsia"/>
          <w:color w:val="auto"/>
          <w:spacing w:val="19"/>
          <w:lang w:val="en-US" w:eastAsia="zh-CN"/>
        </w:rPr>
        <w:t>0万</w:t>
      </w:r>
      <w:r>
        <w:rPr>
          <w:color w:val="auto"/>
          <w:spacing w:val="19"/>
        </w:rPr>
        <w:t>元,</w:t>
      </w:r>
      <w:r>
        <w:rPr>
          <w:color w:val="auto"/>
          <w:spacing w:val="4"/>
        </w:rPr>
        <w:t>政府采购服务预算</w:t>
      </w:r>
      <w:r>
        <w:rPr>
          <w:rFonts w:hint="eastAsia"/>
          <w:color w:val="auto"/>
          <w:spacing w:val="4"/>
          <w:lang w:val="en-US" w:eastAsia="zh-CN"/>
        </w:rPr>
        <w:t>0</w:t>
      </w:r>
      <w:r>
        <w:rPr>
          <w:color w:val="auto"/>
          <w:spacing w:val="4"/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auto"/>
        </w:rPr>
      </w:pPr>
      <w:r>
        <w:rPr>
          <w:color w:val="auto"/>
          <w:spacing w:val="-1"/>
        </w:rPr>
        <w:t>截至</w:t>
      </w:r>
      <w:r>
        <w:rPr>
          <w:rFonts w:hint="eastAsia"/>
          <w:color w:val="auto"/>
          <w:spacing w:val="-1"/>
          <w:lang w:val="en-US" w:eastAsia="zh-CN"/>
        </w:rPr>
        <w:t>2023</w:t>
      </w:r>
      <w:r>
        <w:rPr>
          <w:color w:val="auto"/>
          <w:spacing w:val="-1"/>
        </w:rPr>
        <w:t>年7</w:t>
      </w:r>
      <w:r>
        <w:rPr>
          <w:color w:val="auto"/>
          <w:spacing w:val="-43"/>
        </w:rPr>
        <w:t xml:space="preserve"> </w:t>
      </w:r>
      <w:r>
        <w:rPr>
          <w:color w:val="auto"/>
          <w:spacing w:val="-1"/>
        </w:rPr>
        <w:t>月</w:t>
      </w:r>
      <w:r>
        <w:rPr>
          <w:color w:val="auto"/>
          <w:spacing w:val="-36"/>
        </w:rPr>
        <w:t xml:space="preserve"> </w:t>
      </w:r>
      <w:r>
        <w:rPr>
          <w:color w:val="auto"/>
          <w:spacing w:val="-1"/>
        </w:rPr>
        <w:t>31 日（各级财政编制部门预算基</w:t>
      </w:r>
      <w:r>
        <w:rPr>
          <w:color w:val="auto"/>
          <w:spacing w:val="13"/>
        </w:rPr>
        <w:t>础信息上报截止时间）, 单位共有车辆</w:t>
      </w:r>
      <w:r>
        <w:rPr>
          <w:rFonts w:hint="eastAsia"/>
          <w:color w:val="auto"/>
          <w:spacing w:val="13"/>
          <w:lang w:val="en-US" w:eastAsia="zh-CN"/>
        </w:rPr>
        <w:t>0</w:t>
      </w:r>
      <w:r>
        <w:rPr>
          <w:color w:val="auto"/>
          <w:spacing w:val="-143"/>
        </w:rPr>
        <w:t xml:space="preserve"> </w:t>
      </w:r>
      <w:r>
        <w:rPr>
          <w:color w:val="auto"/>
          <w:spacing w:val="13"/>
        </w:rPr>
        <w:t>辆,其中：一般</w:t>
      </w:r>
      <w:r>
        <w:rPr>
          <w:color w:val="auto"/>
          <w:spacing w:val="6"/>
        </w:rPr>
        <w:t>公务用车实有数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auto"/>
        </w:rPr>
      </w:pPr>
      <w:r>
        <w:rPr>
          <w:color w:val="auto"/>
          <w:spacing w:val="8"/>
        </w:rPr>
        <w:t>202</w:t>
      </w:r>
      <w:r>
        <w:rPr>
          <w:rFonts w:hint="eastAsia"/>
          <w:color w:val="auto"/>
          <w:spacing w:val="8"/>
          <w:lang w:val="en-US" w:eastAsia="zh-CN"/>
        </w:rPr>
        <w:t>4</w:t>
      </w:r>
      <w:r>
        <w:rPr>
          <w:color w:val="auto"/>
          <w:spacing w:val="-44"/>
        </w:rPr>
        <w:t xml:space="preserve"> </w:t>
      </w:r>
      <w:r>
        <w:rPr>
          <w:color w:val="auto"/>
          <w:spacing w:val="8"/>
        </w:rPr>
        <w:t>年单位预算安排购置车辆</w:t>
      </w:r>
      <w:r>
        <w:rPr>
          <w:rFonts w:hint="eastAsia"/>
          <w:color w:val="auto"/>
          <w:spacing w:val="8"/>
          <w:lang w:val="en-US" w:eastAsia="zh-CN"/>
        </w:rPr>
        <w:t>0</w:t>
      </w:r>
      <w:r>
        <w:rPr>
          <w:color w:val="auto"/>
          <w:spacing w:val="-138"/>
        </w:rPr>
        <w:t xml:space="preserve"> </w:t>
      </w:r>
      <w:r>
        <w:rPr>
          <w:color w:val="auto"/>
          <w:spacing w:val="8"/>
        </w:rPr>
        <w:t>辆，</w:t>
      </w:r>
      <w:r>
        <w:rPr>
          <w:rFonts w:hint="eastAsia"/>
          <w:color w:val="auto"/>
          <w:spacing w:val="8"/>
          <w:lang w:eastAsia="zh-CN"/>
        </w:rPr>
        <w:t>未</w:t>
      </w:r>
      <w:r>
        <w:rPr>
          <w:color w:val="auto"/>
          <w:spacing w:val="8"/>
        </w:rPr>
        <w:t>安排购置单位</w:t>
      </w:r>
      <w:r>
        <w:rPr>
          <w:color w:val="auto"/>
          <w:spacing w:val="4"/>
        </w:rPr>
        <w:t>价值</w:t>
      </w:r>
      <w:r>
        <w:rPr>
          <w:color w:val="auto"/>
          <w:spacing w:val="-30"/>
        </w:rPr>
        <w:t xml:space="preserve"> </w:t>
      </w:r>
      <w:r>
        <w:rPr>
          <w:color w:val="auto"/>
          <w:spacing w:val="4"/>
        </w:rPr>
        <w:t>200</w:t>
      </w:r>
      <w:r>
        <w:rPr>
          <w:color w:val="auto"/>
          <w:spacing w:val="-47"/>
        </w:rPr>
        <w:t xml:space="preserve"> </w:t>
      </w:r>
      <w:r>
        <w:rPr>
          <w:color w:val="auto"/>
          <w:spacing w:val="4"/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auto"/>
        </w:rPr>
      </w:pPr>
      <w:r>
        <w:rPr>
          <w:b/>
          <w:bCs/>
          <w:color w:val="auto"/>
          <w:spacing w:val="5"/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auto"/>
          <w:sz w:val="21"/>
        </w:rPr>
      </w:pPr>
      <w:r>
        <w:rPr>
          <w:b w:val="0"/>
          <w:bCs w:val="0"/>
          <w:color w:val="auto"/>
          <w:spacing w:val="6"/>
          <w:position w:val="20"/>
        </w:rPr>
        <w:t>本单位本年度</w:t>
      </w:r>
      <w:r>
        <w:rPr>
          <w:b w:val="0"/>
          <w:bCs w:val="0"/>
          <w:color w:val="auto"/>
          <w:spacing w:val="5"/>
          <w:position w:val="20"/>
        </w:rPr>
        <w:t>未安排</w:t>
      </w:r>
      <w:r>
        <w:rPr>
          <w:rFonts w:hint="eastAsia"/>
          <w:b w:val="0"/>
          <w:bCs w:val="0"/>
          <w:color w:val="auto"/>
          <w:spacing w:val="5"/>
          <w:position w:val="20"/>
          <w:lang w:eastAsia="zh-CN"/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b/>
          <w:bCs/>
          <w:color w:val="auto"/>
          <w:spacing w:val="2"/>
        </w:rPr>
        <w:t>二、</w:t>
      </w:r>
      <w:r>
        <w:rPr>
          <w:rFonts w:hint="eastAsia" w:eastAsia="楷体"/>
          <w:b/>
          <w:bCs/>
          <w:color w:val="auto"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2"/>
        </w:rPr>
        <w:t>年</w:t>
      </w:r>
      <w:r>
        <w:rPr>
          <w:rFonts w:ascii="楷体" w:hAnsi="楷体" w:eastAsia="楷体" w:cs="楷体"/>
          <w:color w:val="auto"/>
          <w:spacing w:val="-103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“三公</w:t>
      </w:r>
      <w:r>
        <w:rPr>
          <w:rFonts w:ascii="Calibri" w:hAnsi="Calibri" w:eastAsia="Calibri" w:cs="Calibri"/>
          <w:b/>
          <w:bCs/>
          <w:color w:val="auto"/>
          <w:spacing w:val="2"/>
        </w:rPr>
        <w:t>”</w:t>
      </w:r>
      <w:r>
        <w:rPr>
          <w:rFonts w:ascii="Calibri" w:hAnsi="Calibri" w:eastAsia="Calibri" w:cs="Calibri"/>
          <w:b/>
          <w:bCs/>
          <w:color w:val="auto"/>
          <w:spacing w:val="-49"/>
        </w:rPr>
        <w:t xml:space="preserve"> </w:t>
      </w:r>
      <w:r>
        <w:rPr>
          <w:rFonts w:ascii="楷体" w:hAnsi="楷体" w:eastAsia="楷体" w:cs="楷体"/>
          <w:b/>
          <w:bCs/>
          <w:color w:val="auto"/>
          <w:spacing w:val="2"/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auto"/>
        </w:rPr>
      </w:pP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单位为"三公"经费</w:t>
      </w:r>
      <w:r>
        <w:rPr>
          <w:rFonts w:hint="eastAsia"/>
          <w:color w:val="auto"/>
          <w:spacing w:val="2"/>
          <w:lang w:eastAsia="zh-CN"/>
        </w:rPr>
        <w:t>预算</w:t>
      </w:r>
      <w:r>
        <w:rPr>
          <w:color w:val="auto"/>
          <w:spacing w:val="2"/>
        </w:rPr>
        <w:t>安排</w:t>
      </w:r>
      <w:r>
        <w:rPr>
          <w:rFonts w:hint="eastAsia"/>
          <w:color w:val="auto"/>
          <w:spacing w:val="2"/>
          <w:lang w:val="en-US" w:eastAsia="zh-CN"/>
        </w:rPr>
        <w:t>1.8</w:t>
      </w:r>
      <w:r>
        <w:rPr>
          <w:color w:val="auto"/>
          <w:spacing w:val="2"/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auto"/>
        </w:rPr>
      </w:pPr>
      <w:r>
        <w:rPr>
          <w:color w:val="auto"/>
          <w:spacing w:val="3"/>
        </w:rPr>
        <w:t>因公出国（境）费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万元,比上年增</w:t>
      </w:r>
      <w:r>
        <w:rPr>
          <w:rFonts w:hint="eastAsia"/>
          <w:color w:val="auto"/>
          <w:spacing w:val="3"/>
          <w:lang w:eastAsia="zh-CN"/>
        </w:rPr>
        <w:t>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万元，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auto"/>
        </w:rPr>
      </w:pPr>
      <w:r>
        <w:rPr>
          <w:color w:val="auto"/>
          <w:spacing w:val="6"/>
        </w:rPr>
        <w:t>公务接待费</w:t>
      </w:r>
      <w:r>
        <w:rPr>
          <w:rFonts w:hint="eastAsia"/>
          <w:color w:val="auto"/>
          <w:spacing w:val="6"/>
          <w:lang w:val="en-US" w:eastAsia="zh-CN"/>
        </w:rPr>
        <w:t>1.8</w:t>
      </w:r>
      <w:r>
        <w:rPr>
          <w:color w:val="auto"/>
          <w:spacing w:val="6"/>
        </w:rPr>
        <w:t>万元,比上年减</w:t>
      </w:r>
      <w:r>
        <w:rPr>
          <w:rFonts w:hint="eastAsia"/>
          <w:color w:val="auto"/>
          <w:spacing w:val="6"/>
          <w:lang w:eastAsia="zh-CN"/>
        </w:rPr>
        <w:t>少</w:t>
      </w:r>
      <w:r>
        <w:rPr>
          <w:rFonts w:hint="eastAsia"/>
          <w:color w:val="auto"/>
          <w:spacing w:val="6"/>
          <w:lang w:val="en-US" w:eastAsia="zh-CN"/>
        </w:rPr>
        <w:t>0.2</w:t>
      </w:r>
      <w:r>
        <w:rPr>
          <w:color w:val="auto"/>
          <w:spacing w:val="5"/>
        </w:rPr>
        <w:t>万元，主要</w:t>
      </w:r>
      <w:r>
        <w:rPr>
          <w:color w:val="auto"/>
          <w:spacing w:val="-1"/>
        </w:rPr>
        <w:t>原因</w:t>
      </w:r>
      <w:r>
        <w:rPr>
          <w:rFonts w:hint="eastAsia"/>
          <w:color w:val="auto"/>
          <w:spacing w:val="-1"/>
          <w:lang w:eastAsia="zh-CN"/>
        </w:rPr>
        <w:t>：压减三公支出</w:t>
      </w:r>
      <w:r>
        <w:rPr>
          <w:color w:val="auto"/>
          <w:spacing w:val="-1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公务用车运行维护费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-125"/>
        </w:rPr>
        <w:t xml:space="preserve"> </w:t>
      </w:r>
      <w:r>
        <w:rPr>
          <w:color w:val="auto"/>
          <w:spacing w:val="6"/>
        </w:rPr>
        <w:t>万</w:t>
      </w:r>
      <w:r>
        <w:rPr>
          <w:color w:val="auto"/>
          <w:spacing w:val="4"/>
        </w:rPr>
        <w:t>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6"/>
        </w:rPr>
        <w:t>公务用车购置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万元,比上年增</w:t>
      </w:r>
      <w:r>
        <w:rPr>
          <w:rFonts w:hint="eastAsia"/>
          <w:color w:val="auto"/>
          <w:spacing w:val="6"/>
          <w:lang w:eastAsia="zh-CN"/>
        </w:rPr>
        <w:t>加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4"/>
          <w:lang w:eastAsia="zh-CN"/>
        </w:rPr>
        <w:t>，</w:t>
      </w:r>
      <w:r>
        <w:rPr>
          <w:rFonts w:hint="eastAsia"/>
          <w:color w:val="auto"/>
          <w:spacing w:val="3"/>
          <w:lang w:eastAsia="zh-CN"/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auto"/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auto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 </w:t>
      </w:r>
      <w:r>
        <w:rPr>
          <w:b/>
          <w:bCs/>
          <w:color w:val="auto"/>
          <w:spacing w:val="4"/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auto"/>
        </w:rPr>
      </w:pPr>
      <w:r>
        <w:rPr>
          <w:color w:val="auto"/>
          <w:spacing w:val="4"/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auto"/>
        </w:rPr>
      </w:pPr>
      <w:r>
        <w:rPr>
          <w:color w:val="auto"/>
          <w:spacing w:val="5"/>
        </w:rPr>
        <w:t>（</w:t>
      </w:r>
      <w:r>
        <w:rPr>
          <w:color w:val="auto"/>
          <w:spacing w:val="-68"/>
        </w:rPr>
        <w:t xml:space="preserve"> </w:t>
      </w:r>
      <w:r>
        <w:rPr>
          <w:color w:val="auto"/>
          <w:spacing w:val="5"/>
        </w:rPr>
        <w:t>一）财政拨款：指</w:t>
      </w:r>
      <w:r>
        <w:rPr>
          <w:rFonts w:hint="eastAsia"/>
          <w:color w:val="auto"/>
          <w:spacing w:val="5"/>
          <w:lang w:val="en-US" w:eastAsia="zh-CN"/>
        </w:rPr>
        <w:t>区</w:t>
      </w:r>
      <w:r>
        <w:rPr>
          <w:color w:val="auto"/>
          <w:spacing w:val="5"/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80"/>
        </w:rPr>
        <w:t xml:space="preserve"> </w:t>
      </w:r>
      <w:r>
        <w:rPr>
          <w:color w:val="auto"/>
          <w:spacing w:val="6"/>
        </w:rPr>
        <w:t>二）教育收费资金收入：反映实行专项管理的高中以</w:t>
      </w:r>
      <w:r>
        <w:rPr>
          <w:color w:val="auto"/>
        </w:rPr>
        <w:t xml:space="preserve"> </w:t>
      </w:r>
      <w:r>
        <w:rPr>
          <w:color w:val="auto"/>
          <w:spacing w:val="8"/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auto"/>
        </w:rPr>
      </w:pPr>
      <w:r>
        <w:rPr>
          <w:color w:val="auto"/>
          <w:spacing w:val="4"/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auto"/>
        </w:rPr>
      </w:pPr>
      <w:r>
        <w:rPr>
          <w:color w:val="auto"/>
          <w:spacing w:val="9"/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auto"/>
        </w:rPr>
      </w:pPr>
      <w:r>
        <w:rPr>
          <w:color w:val="auto"/>
          <w:spacing w:val="9"/>
        </w:rPr>
        <w:t>（五）附属单位上缴收入：反映事业单位附属的独立核</w:t>
      </w:r>
      <w:r>
        <w:rPr>
          <w:color w:val="auto"/>
          <w:spacing w:val="8"/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8"/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auto"/>
        </w:rPr>
      </w:pPr>
      <w:r>
        <w:rPr>
          <w:color w:val="auto"/>
          <w:spacing w:val="9"/>
          <w:position w:val="21"/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auto"/>
        </w:rPr>
      </w:pPr>
      <w:r>
        <w:rPr>
          <w:color w:val="auto"/>
          <w:spacing w:val="7"/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auto"/>
        </w:rPr>
      </w:pPr>
      <w:r>
        <w:rPr>
          <w:color w:val="auto"/>
          <w:spacing w:val="9"/>
        </w:rPr>
        <w:t>（八）使用非财政拨款结余：填列历年滚存的非限定用</w:t>
      </w:r>
      <w:r>
        <w:rPr>
          <w:color w:val="auto"/>
          <w:spacing w:val="8"/>
        </w:rPr>
        <w:t>途的非统计财政拨款结余弥补</w:t>
      </w:r>
      <w:r>
        <w:rPr>
          <w:rFonts w:hint="eastAsia"/>
          <w:color w:val="auto"/>
          <w:spacing w:val="8"/>
          <w:lang w:val="en-US" w:eastAsia="zh-CN"/>
        </w:rPr>
        <w:t>上</w:t>
      </w:r>
      <w:r>
        <w:rPr>
          <w:color w:val="auto"/>
          <w:spacing w:val="8"/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auto"/>
        </w:rPr>
      </w:pPr>
      <w:r>
        <w:rPr>
          <w:color w:val="auto"/>
          <w:spacing w:val="9"/>
        </w:rPr>
        <w:t>（九）上年结转和结余：填列上年</w:t>
      </w:r>
      <w:r>
        <w:rPr>
          <w:color w:val="auto"/>
          <w:spacing w:val="8"/>
        </w:rPr>
        <w:t>全部结转和结余的资金数，包括当年结转结余资金和历年滚存结转结余</w:t>
      </w:r>
      <w:r>
        <w:rPr>
          <w:color w:val="auto"/>
          <w:spacing w:val="-3"/>
        </w:rPr>
        <w:t>资</w:t>
      </w:r>
      <w:r>
        <w:rPr>
          <w:rFonts w:hint="eastAsia"/>
          <w:color w:val="auto"/>
          <w:spacing w:val="-3"/>
          <w:lang w:eastAsia="zh-CN"/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auto"/>
        </w:rPr>
      </w:pPr>
      <w:r>
        <w:rPr>
          <w:color w:val="auto"/>
          <w:spacing w:val="4"/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auto"/>
          <w:sz w:val="21"/>
        </w:rPr>
      </w:pPr>
      <w:r>
        <w:rPr>
          <w:color w:val="auto"/>
          <w:spacing w:val="8"/>
        </w:rPr>
        <w:t>对部门预算中涉及的支出功能分类科目（明细到项级</w:t>
      </w:r>
      <w:r>
        <w:rPr>
          <w:rFonts w:hint="eastAsia"/>
          <w:color w:val="auto"/>
          <w:spacing w:val="8"/>
          <w:lang w:eastAsia="zh-CN"/>
        </w:rPr>
        <w:t>）</w:t>
      </w:r>
      <w:r>
        <w:rPr>
          <w:color w:val="auto"/>
          <w:spacing w:val="-80"/>
          <w:w w:val="92"/>
        </w:rPr>
        <w:t>，</w:t>
      </w:r>
      <w:r>
        <w:rPr>
          <w:color w:val="auto"/>
          <w:spacing w:val="2"/>
        </w:rPr>
        <w:t xml:space="preserve"> </w:t>
      </w:r>
      <w:r>
        <w:rPr>
          <w:color w:val="auto"/>
          <w:spacing w:val="8"/>
        </w:rPr>
        <w:t>结合部门实际，参照《</w:t>
      </w:r>
      <w:r>
        <w:rPr>
          <w:rFonts w:hint="eastAsia"/>
          <w:color w:val="auto"/>
          <w:spacing w:val="8"/>
          <w:lang w:val="en-US" w:eastAsia="zh-CN"/>
        </w:rPr>
        <w:t>2024</w:t>
      </w:r>
      <w:r>
        <w:rPr>
          <w:color w:val="auto"/>
          <w:spacing w:val="8"/>
        </w:rPr>
        <w:t>年政府收支分类科目》的规范说明</w:t>
      </w:r>
      <w:r>
        <w:rPr>
          <w:color w:val="auto"/>
          <w:spacing w:val="5"/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auto"/>
        </w:rPr>
      </w:pPr>
      <w:r>
        <w:rPr>
          <w:color w:val="auto"/>
          <w:spacing w:val="5"/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auto"/>
        </w:rPr>
      </w:pPr>
      <w:r>
        <w:rPr>
          <w:color w:val="auto"/>
          <w:spacing w:val="6"/>
        </w:rPr>
        <w:t>（</w:t>
      </w:r>
      <w:r>
        <w:rPr>
          <w:color w:val="auto"/>
          <w:spacing w:val="-79"/>
        </w:rPr>
        <w:t xml:space="preserve"> </w:t>
      </w:r>
      <w:r>
        <w:rPr>
          <w:color w:val="auto"/>
          <w:spacing w:val="6"/>
        </w:rPr>
        <w:t>一）机关运行费：指用财政拨款安排的为保障行政单</w:t>
      </w:r>
      <w:r>
        <w:rPr>
          <w:color w:val="auto"/>
        </w:rPr>
        <w:t xml:space="preserve"> </w:t>
      </w:r>
      <w:r>
        <w:rPr>
          <w:color w:val="auto"/>
          <w:spacing w:val="9"/>
        </w:rPr>
        <w:t>位（含参照公务员法管理的事业单位）运行用于购买货物和</w:t>
      </w:r>
      <w:r>
        <w:rPr>
          <w:color w:val="auto"/>
          <w:spacing w:val="3"/>
        </w:rPr>
        <w:t xml:space="preserve"> </w:t>
      </w:r>
      <w:r>
        <w:rPr>
          <w:color w:val="auto"/>
          <w:spacing w:val="8"/>
        </w:rPr>
        <w:t>服务的各项资金，包括办公费、</w:t>
      </w:r>
      <w:r>
        <w:rPr>
          <w:color w:val="auto"/>
          <w:spacing w:val="-84"/>
        </w:rPr>
        <w:t xml:space="preserve"> </w:t>
      </w:r>
      <w:r>
        <w:rPr>
          <w:color w:val="auto"/>
          <w:spacing w:val="8"/>
        </w:rPr>
        <w:t>印刷费、邮电费、差旅费、</w:t>
      </w:r>
      <w:r>
        <w:rPr>
          <w:color w:val="auto"/>
        </w:rPr>
        <w:t xml:space="preserve"> </w:t>
      </w:r>
      <w:r>
        <w:rPr>
          <w:color w:val="auto"/>
          <w:spacing w:val="1"/>
        </w:rPr>
        <w:t>会议费、福利费、日常维修费、专用材料及一般设备</w:t>
      </w:r>
      <w:r>
        <w:rPr>
          <w:color w:val="auto"/>
        </w:rPr>
        <w:t xml:space="preserve">购置费、 </w:t>
      </w:r>
      <w:r>
        <w:rPr>
          <w:color w:val="auto"/>
          <w:spacing w:val="9"/>
        </w:rPr>
        <w:t>办公用房水电费、办公用房取暖费、办公用房物业管理费、</w:t>
      </w:r>
      <w:r>
        <w:rPr>
          <w:color w:val="auto"/>
          <w:spacing w:val="8"/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  <w:r>
        <w:rPr>
          <w:color w:val="auto"/>
          <w:spacing w:val="-13"/>
        </w:rPr>
        <w:t>（</w:t>
      </w:r>
      <w:r>
        <w:rPr>
          <w:color w:val="auto"/>
          <w:spacing w:val="-64"/>
        </w:rPr>
        <w:t xml:space="preserve"> </w:t>
      </w:r>
      <w:r>
        <w:rPr>
          <w:color w:val="auto"/>
          <w:spacing w:val="-13"/>
        </w:rPr>
        <w:t>二）“三公”经费：指用财政拨款安排的因公出国（境）</w:t>
      </w:r>
      <w:r>
        <w:rPr>
          <w:color w:val="auto"/>
        </w:rPr>
        <w:t xml:space="preserve"> </w:t>
      </w:r>
      <w:r>
        <w:rPr>
          <w:color w:val="auto"/>
          <w:spacing w:val="8"/>
        </w:rPr>
        <w:t>费、公务用车购置及运行维护费和公务接待费。其中，因公</w:t>
      </w:r>
      <w:r>
        <w:rPr>
          <w:color w:val="auto"/>
          <w:spacing w:val="4"/>
        </w:rPr>
        <w:t xml:space="preserve">  </w:t>
      </w:r>
      <w:r>
        <w:rPr>
          <w:color w:val="auto"/>
          <w:spacing w:val="8"/>
        </w:rPr>
        <w:t>出国（境）费反映单位公务出国（境）的国际旅费、国外城</w:t>
      </w:r>
      <w:r>
        <w:rPr>
          <w:color w:val="auto"/>
          <w:spacing w:val="5"/>
        </w:rPr>
        <w:t xml:space="preserve">  </w:t>
      </w:r>
      <w:r>
        <w:rPr>
          <w:color w:val="auto"/>
          <w:spacing w:val="8"/>
        </w:rPr>
        <w:t>市间交通费、住宿费、伙食费、培训费、公杂费等支出；公</w:t>
      </w:r>
      <w:r>
        <w:rPr>
          <w:color w:val="auto"/>
          <w:spacing w:val="9"/>
        </w:rPr>
        <w:t>务用车购置及运行维护费反映单位公务用车车辆购置支出</w:t>
      </w:r>
      <w:r>
        <w:rPr>
          <w:color w:val="auto"/>
          <w:spacing w:val="8"/>
        </w:rPr>
        <w:t>（含车辆购置税、牌照费</w:t>
      </w:r>
      <w:r>
        <w:rPr>
          <w:color w:val="auto"/>
          <w:spacing w:val="-61"/>
        </w:rPr>
        <w:t>），</w:t>
      </w:r>
      <w:r>
        <w:rPr>
          <w:color w:val="auto"/>
          <w:spacing w:val="8"/>
        </w:rPr>
        <w:t>按规定保留的公务用车燃料费、</w:t>
      </w:r>
      <w:r>
        <w:rPr>
          <w:color w:val="auto"/>
          <w:spacing w:val="9"/>
        </w:rPr>
        <w:t>维修费、过桥过路费、保险费、安全奖励费用等支出；公</w:t>
      </w:r>
      <w:r>
        <w:rPr>
          <w:rFonts w:hint="eastAsia"/>
          <w:color w:val="auto"/>
          <w:spacing w:val="9"/>
          <w:lang w:eastAsia="zh-CN"/>
        </w:rPr>
        <w:t>务接待费反映单位按规定开支的各类公务接待（含外宾接待）支出。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/>
          <w:color w:val="auto"/>
          <w:spacing w:val="9"/>
          <w:lang w:eastAsia="zh-CN"/>
        </w:rPr>
      </w:pPr>
    </w:p>
    <w:p>
      <w:pPr>
        <w:bidi w:val="0"/>
        <w:jc w:val="left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 w:ascii="Arial" w:hAnsi="Arial" w:eastAsia="Arial" w:cs="Arial"/>
          <w:snapToGrid w:val="0"/>
          <w:color w:val="auto"/>
          <w:kern w:val="0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bidi w:val="0"/>
        <w:ind w:firstLine="418" w:firstLineChars="0"/>
        <w:jc w:val="left"/>
        <w:rPr>
          <w:rFonts w:hint="eastAsia"/>
          <w:color w:val="auto"/>
          <w:lang w:val="en-US" w:eastAsia="zh-CN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08060" cy="57315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806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24900" cy="2481580"/>
            <wp:effectExtent l="0" t="0" r="139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49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11235" cy="2529840"/>
            <wp:effectExtent l="0" t="0" r="3810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123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29650" cy="5434965"/>
            <wp:effectExtent l="0" t="0" r="133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9650" cy="54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38540" cy="2540000"/>
            <wp:effectExtent l="0" t="0" r="1270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854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55685" cy="4958080"/>
            <wp:effectExtent l="0" t="0" r="1397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5685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826500" cy="1685290"/>
            <wp:effectExtent l="0" t="0" r="10160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65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638540" cy="1826895"/>
            <wp:effectExtent l="0" t="0" r="190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854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8781415" cy="2072640"/>
            <wp:effectExtent l="0" t="0" r="381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8141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ZkZjVkODM2NGY5MGUwMGNkYmJmYjFiMDgxZjkifQ=="/>
  </w:docVars>
  <w:rsids>
    <w:rsidRoot w:val="28C32CA0"/>
    <w:rsid w:val="02042807"/>
    <w:rsid w:val="092646F2"/>
    <w:rsid w:val="0C30096E"/>
    <w:rsid w:val="0FE8095C"/>
    <w:rsid w:val="1C695AD2"/>
    <w:rsid w:val="28C32CA0"/>
    <w:rsid w:val="28D71707"/>
    <w:rsid w:val="2CF409D2"/>
    <w:rsid w:val="314E02DF"/>
    <w:rsid w:val="393977E0"/>
    <w:rsid w:val="3A6B1F5F"/>
    <w:rsid w:val="3D2A451C"/>
    <w:rsid w:val="3EA84A08"/>
    <w:rsid w:val="423C6C0F"/>
    <w:rsid w:val="456A3DB0"/>
    <w:rsid w:val="5A771731"/>
    <w:rsid w:val="5D2D5CCD"/>
    <w:rsid w:val="5F6C15F8"/>
    <w:rsid w:val="63BC4B71"/>
    <w:rsid w:val="65BF2EF7"/>
    <w:rsid w:val="71675783"/>
    <w:rsid w:val="72792554"/>
    <w:rsid w:val="795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3044</Words>
  <Characters>3322</Characters>
  <Lines>0</Lines>
  <Paragraphs>0</Paragraphs>
  <TotalTime>0</TotalTime>
  <ScaleCrop>false</ScaleCrop>
  <LinksUpToDate>false</LinksUpToDate>
  <CharactersWithSpaces>3473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2024-02-27T06:54:29Z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058BC9DC8DAD4519996373F58D80690B_11</vt:lpwstr>
  </property>
</Properties>
</file>