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第三幼儿园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第三幼儿园单位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南昌市新建区第三幼儿园实施幼儿教育，促进学期教育发展。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第三幼儿园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第三幼儿园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第三部分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第三幼儿园</w:t>
      </w:r>
      <w:r>
        <w:rPr>
          <w:rFonts w:hint="eastAsia"/>
          <w:b/>
          <w:bCs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楷体"/>
          <w:b/>
          <w:bCs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</w:pPr>
      <w:r>
        <w:rPr>
          <w:rFonts w:hint="eastAsia"/>
          <w:spacing w:val="11"/>
          <w:lang w:val="en-US" w:eastAsia="zh-CN"/>
        </w:rPr>
        <w:t>2024</w:t>
      </w:r>
      <w:bookmarkStart w:id="0" w:name="_GoBack"/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年收入预算总额为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2064.78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410.41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增长24.81，主要原因是人员经费增加；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其中财政拨款收入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616.53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124.66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，主要原因是人员经费增加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;教育收费资金收入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万元;其他收入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1448.25万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元，较上年预算安排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增加285.75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，主要原因是学校其他单位拨款增加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年支出预算总额为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2064.78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410.41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增长24.81，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主要原因是人员经费支出增加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 其中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支出项目类别划分： 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1991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336.63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,主要原因是人员经费支出增加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1170.85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690.04</w:t>
      </w:r>
      <w:bookmarkEnd w:id="0"/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资本性支出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万元。项目支出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73.78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73.78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，主要原因是上年生均公用经费结转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73.78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rFonts w:hint="eastAsia"/>
          <w:color w:val="000000" w:themeColor="text1"/>
          <w:spacing w:val="15"/>
          <w:lang w:eastAsia="zh-CN"/>
          <w14:textFill>
            <w14:solidFill>
              <w14:schemeClr w14:val="tx1"/>
            </w14:solidFill>
          </w14:textFill>
        </w:rPr>
        <w:t>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0万元，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万元，对企业补助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万元，其他支出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按支出功能科目划分：教育支出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1991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336.63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，增长20.35%,主要原因是人员经费支出增加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按支出经济分类划分：工资福利支出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1170.85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万元,较上年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684.5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,主要原因是人员奖金支出增加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;商品和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690.04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较上年预算安排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457.85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主要原因是学校公用开支减少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;对个人和家庭的补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助</w:t>
      </w:r>
      <w:r>
        <w:rPr>
          <w:color w:val="000000" w:themeColor="text1"/>
          <w:spacing w:val="-15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0.03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主要原因是学校生活补助减少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;债务利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息及费用支出</w:t>
      </w:r>
      <w:r>
        <w:rPr>
          <w:color w:val="000000" w:themeColor="text1"/>
          <w:spacing w:val="-14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47"/>
          <w:lang w:val="en-US" w:eastAsia="zh-CN"/>
          <w14:textFill>
            <w14:solidFill>
              <w14:schemeClr w14:val="tx1"/>
            </w14:solidFill>
          </w14:textFill>
        </w:rPr>
        <w:t xml:space="preserve">      0           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万元，较上年预算安排增加</w:t>
      </w:r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元；资本性支出（基本建设）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万元；资本性支出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130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万元,较上年预算安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110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主要原因是学校政府采购支出增加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;对企业补助（基本建设）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25"/>
          <w:lang w:val="en-US" w:eastAsia="zh-CN"/>
          <w14:textFill>
            <w14:solidFill>
              <w14:schemeClr w14:val="tx1"/>
            </w14:solidFill>
          </w14:textFill>
        </w:rPr>
        <w:t xml:space="preserve">0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-9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position w:val="-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万元；对社会保险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基金补助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/>
          <w:color w:val="000000" w:themeColor="text1"/>
          <w:spacing w:val="-151"/>
          <w:lang w:val="en-US" w:eastAsia="zh-CN"/>
          <w14:textFill>
            <w14:solidFill>
              <w14:schemeClr w14:val="tx1"/>
            </w14:solidFill>
          </w14:textFill>
        </w:rPr>
        <w:t xml:space="preserve">0                             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单位财政拨款支出预算总额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616.53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124.66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，增长25.34%，主要原因是人员奖金支出增加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616.53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124.66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。主要原因是人员奖金支出增加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616.53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124.66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万元;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537.21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5.43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元。项目支出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73.78万元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,较上年预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73.78万元，主要原因是上年结转公用经费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73.78万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,债务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，资本性支出（基本建设）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其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本单位非行政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参公单位，无机关运行经费</w:t>
      </w: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年单位政府采购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130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万元,其中: 政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府采购货物预算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130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 政府采购工程预算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19"/>
          <w:lang w:eastAsia="zh-CN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元,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政府采购服务预算</w:t>
      </w:r>
      <w:r>
        <w:rPr>
          <w:rFonts w:hint="eastAsia"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截至</w:t>
      </w:r>
      <w:r>
        <w:rPr>
          <w:rFonts w:hint="eastAsia"/>
          <w:color w:val="000000" w:themeColor="text1"/>
          <w:spacing w:val="-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年7</w:t>
      </w:r>
      <w:r>
        <w:rPr>
          <w:color w:val="000000" w:themeColor="text1"/>
          <w:spacing w:val="-4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pacing w:val="-3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31 日（各级财政编制部门预算基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础信息上报截止时间）, 单位共有车辆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4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辆,其中：一般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公务用车实有数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-4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年单位预算安排购置车辆</w:t>
      </w:r>
      <w:r>
        <w:rPr>
          <w:rFonts w:hint="eastAsia"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3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辆，</w:t>
      </w:r>
      <w:r>
        <w:rPr>
          <w:rFonts w:hint="eastAsia"/>
          <w:color w:val="000000" w:themeColor="text1"/>
          <w:spacing w:val="8"/>
          <w:lang w:eastAsia="zh-CN"/>
          <w14:textFill>
            <w14:solidFill>
              <w14:schemeClr w14:val="tx1"/>
            </w14:solidFill>
          </w14:textFill>
        </w:rPr>
        <w:t>未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安排购置单位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价值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200</w:t>
      </w:r>
      <w:r>
        <w:rPr>
          <w:color w:val="000000" w:themeColor="text1"/>
          <w:spacing w:val="-4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spacing w:val="5"/>
          <w:lang w:val="en-US" w:eastAsia="zh-CN"/>
        </w:rPr>
      </w:pPr>
      <w:r>
        <w:rPr>
          <w:b/>
          <w:bCs/>
          <w:spacing w:val="5"/>
        </w:rPr>
        <w:t>（九）项目情况说明</w:t>
      </w:r>
      <w:r>
        <w:rPr>
          <w:rFonts w:hint="eastAsia"/>
          <w:b/>
          <w:bCs/>
          <w:spacing w:val="5"/>
          <w:lang w:val="en-US" w:eastAsia="zh-CN"/>
        </w:rPr>
        <w:t xml:space="preserve">      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600" w:lineRule="atLeast"/>
        <w:ind w:firstLine="560"/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本单位本年度未安排项目。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1.35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1.35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0.15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5684520" cy="587629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84520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52840" cy="1816100"/>
            <wp:effectExtent l="0" t="0" r="1270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284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540115" cy="2646045"/>
            <wp:effectExtent l="0" t="0" r="571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011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6110605" cy="5829300"/>
            <wp:effectExtent l="0" t="0" r="762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60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509635" cy="2637155"/>
            <wp:effectExtent l="0" t="0" r="1460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963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7571740" cy="5755640"/>
            <wp:effectExtent l="0" t="0" r="508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1740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79815" cy="1217930"/>
            <wp:effectExtent l="0" t="0" r="127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981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40140" cy="1685290"/>
            <wp:effectExtent l="0" t="0" r="635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014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67750" cy="1570990"/>
            <wp:effectExtent l="0" t="0" r="1397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775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WE1ZDQ0YTY3Y2RhNTc2ZGI3ZmEyYmM0ZWE3OTMifQ=="/>
  </w:docVars>
  <w:rsids>
    <w:rsidRoot w:val="28C32CA0"/>
    <w:rsid w:val="10844FD5"/>
    <w:rsid w:val="1D625AAE"/>
    <w:rsid w:val="1DAE4226"/>
    <w:rsid w:val="22455D87"/>
    <w:rsid w:val="26450CA6"/>
    <w:rsid w:val="28C32CA0"/>
    <w:rsid w:val="3FCB3A9A"/>
    <w:rsid w:val="51E4541F"/>
    <w:rsid w:val="59E0230F"/>
    <w:rsid w:val="616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6F3909D8115D4D848EEF09E4C1A296A0_13</vt:lpwstr>
  </property>
</Properties>
</file>