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4"/>
          <w:sz w:val="36"/>
          <w:szCs w:val="36"/>
          <w:lang w:eastAsia="zh-CN"/>
        </w:rPr>
        <w:t>南昌市新建区大塘中心学校</w:t>
      </w:r>
      <w:r>
        <w:rPr>
          <w:rFonts w:hint="eastAsia" w:ascii="黑体" w:hAnsi="黑体" w:eastAsia="黑体" w:cs="黑体"/>
          <w:b/>
          <w:bCs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  <w:lang w:eastAsia="zh-CN"/>
        </w:rPr>
        <w:t>南昌市新建区大塘中心学校单位</w:t>
      </w:r>
      <w:r>
        <w:rPr>
          <w:b/>
          <w:bCs/>
        </w:rPr>
        <w:t>概况</w:t>
      </w: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南昌市新建区大塘中心学校，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义务教育，促进基础教育发展。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南昌市新建区大塘中心学校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306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17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eastAsia="zh-CN"/>
        </w:rPr>
        <w:t>南昌市新建区大塘中心学校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spacing w:val="3"/>
        </w:rPr>
      </w:pPr>
      <w:r>
        <w:rPr>
          <w:spacing w:val="3"/>
        </w:rPr>
        <w:t>（详见附表）</w:t>
      </w:r>
    </w:p>
    <w:p>
      <w:pPr>
        <w:pStyle w:val="3"/>
        <w:spacing w:before="171" w:line="226" w:lineRule="auto"/>
        <w:rPr>
          <w:color w:val="auto"/>
          <w:spacing w:val="3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jc w:val="center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  <w:lang w:eastAsia="zh-CN"/>
        </w:rPr>
        <w:t>南昌市新建区大塘中心学校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3545.4</w:t>
      </w:r>
      <w:r>
        <w:rPr>
          <w:rFonts w:hint="eastAsia"/>
          <w:spacing w:val="11"/>
          <w:lang w:val="en-US" w:eastAsia="en-US"/>
        </w:rPr>
        <w:t>万元,较上年预算安排</w:t>
      </w:r>
      <w:r>
        <w:rPr>
          <w:rFonts w:hint="eastAsia"/>
          <w:spacing w:val="11"/>
          <w:lang w:val="en-US" w:eastAsia="zh-CN"/>
        </w:rPr>
        <w:t>增加376.19</w:t>
      </w:r>
      <w:r>
        <w:rPr>
          <w:rFonts w:hint="eastAsia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增长11.87%,主要原因是人员经费增加。</w:t>
      </w:r>
      <w:r>
        <w:rPr>
          <w:rFonts w:hint="eastAsia"/>
          <w:spacing w:val="11"/>
          <w:lang w:val="en-US" w:eastAsia="en-US"/>
        </w:rPr>
        <w:t>其中财政拨款收入</w:t>
      </w:r>
      <w:r>
        <w:rPr>
          <w:rFonts w:hint="eastAsia"/>
          <w:spacing w:val="11"/>
          <w:lang w:val="en-US" w:eastAsia="zh-CN"/>
        </w:rPr>
        <w:t>3086.45</w:t>
      </w:r>
      <w:r>
        <w:rPr>
          <w:rFonts w:hint="eastAsia"/>
          <w:spacing w:val="11"/>
          <w:lang w:val="en-US" w:eastAsia="en-US"/>
        </w:rPr>
        <w:t>万元,较上年预算安排增加</w:t>
      </w:r>
      <w:r>
        <w:rPr>
          <w:rFonts w:hint="eastAsia"/>
          <w:spacing w:val="11"/>
          <w:lang w:val="en-US" w:eastAsia="zh-CN"/>
        </w:rPr>
        <w:t>465.24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spacing w:val="11"/>
          <w:lang w:val="en-US" w:eastAsia="en-US"/>
        </w:rPr>
        <w:t>;教育收费资金收入</w:t>
      </w:r>
      <w:r>
        <w:rPr>
          <w:rFonts w:hint="eastAsia"/>
          <w:spacing w:val="11"/>
          <w:lang w:val="en-US" w:eastAsia="zh-CN"/>
        </w:rPr>
        <w:t>28</w:t>
      </w:r>
      <w:r>
        <w:rPr>
          <w:rFonts w:hint="eastAsia"/>
          <w:spacing w:val="11"/>
          <w:lang w:val="en-US" w:eastAsia="en-US"/>
        </w:rPr>
        <w:t>万元,较上年预算安排</w:t>
      </w:r>
      <w:r>
        <w:rPr>
          <w:rFonts w:hint="eastAsia"/>
          <w:spacing w:val="11"/>
          <w:lang w:val="en-US" w:eastAsia="zh-CN"/>
        </w:rPr>
        <w:t>减少121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减少</w:t>
      </w:r>
      <w:r>
        <w:rPr>
          <w:rFonts w:hint="eastAsia"/>
          <w:color w:val="auto"/>
          <w:spacing w:val="11"/>
          <w:lang w:val="en-US" w:eastAsia="en-US"/>
        </w:rPr>
        <w:t>;</w:t>
      </w:r>
      <w:r>
        <w:rPr>
          <w:rFonts w:hint="eastAsia"/>
          <w:spacing w:val="11"/>
          <w:lang w:val="en-US" w:eastAsia="en-US"/>
        </w:rPr>
        <w:t>其他收入</w:t>
      </w:r>
      <w:r>
        <w:rPr>
          <w:rFonts w:hint="eastAsia"/>
          <w:spacing w:val="11"/>
          <w:lang w:val="en-US" w:eastAsia="zh-CN"/>
        </w:rPr>
        <w:t>430.95万</w:t>
      </w:r>
      <w:r>
        <w:rPr>
          <w:rFonts w:hint="eastAsia"/>
          <w:spacing w:val="11"/>
          <w:lang w:val="en-US" w:eastAsia="en-US"/>
        </w:rPr>
        <w:t>元，较上年预算安排</w:t>
      </w:r>
      <w:r>
        <w:rPr>
          <w:rFonts w:hint="eastAsia"/>
          <w:spacing w:val="11"/>
          <w:lang w:val="en-US" w:eastAsia="zh-CN"/>
        </w:rPr>
        <w:t>增加31.95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增加</w:t>
      </w:r>
      <w:r>
        <w:rPr>
          <w:rFonts w:hint="eastAsia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年支出预算总额为</w:t>
      </w:r>
      <w:r>
        <w:rPr>
          <w:rFonts w:hint="eastAsia"/>
          <w:spacing w:val="11"/>
          <w:lang w:val="en-US" w:eastAsia="zh-CN"/>
        </w:rPr>
        <w:t>3545.4</w:t>
      </w:r>
      <w:r>
        <w:rPr>
          <w:rFonts w:hint="eastAsia"/>
          <w:spacing w:val="11"/>
          <w:lang w:val="en-US" w:eastAsia="en-US"/>
        </w:rPr>
        <w:t>万元,较上年预算安排</w:t>
      </w:r>
      <w:r>
        <w:rPr>
          <w:rFonts w:hint="eastAsia"/>
          <w:spacing w:val="11"/>
          <w:lang w:val="en-US" w:eastAsia="zh-CN"/>
        </w:rPr>
        <w:t>增加376.19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增长11.87%,主要原因是人员经费增加。</w:t>
      </w:r>
      <w:r>
        <w:rPr>
          <w:rFonts w:hint="eastAsia"/>
          <w:spacing w:val="11"/>
          <w:lang w:val="en-US" w:eastAsia="en-US"/>
        </w:rPr>
        <w:t>其中财政拨款收入</w:t>
      </w:r>
      <w:r>
        <w:rPr>
          <w:rFonts w:hint="eastAsia"/>
          <w:spacing w:val="11"/>
          <w:lang w:val="en-US" w:eastAsia="zh-CN"/>
        </w:rPr>
        <w:t>3086.45</w:t>
      </w:r>
      <w:r>
        <w:rPr>
          <w:rFonts w:hint="eastAsia"/>
          <w:spacing w:val="11"/>
          <w:lang w:val="en-US" w:eastAsia="en-US"/>
        </w:rPr>
        <w:t>万元</w:t>
      </w:r>
      <w:r>
        <w:rPr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spacing w:val="11"/>
          <w:lang w:val="en-US" w:eastAsia="zh-CN"/>
        </w:rPr>
      </w:pPr>
      <w:r>
        <w:rPr>
          <w:rFonts w:hint="eastAsia"/>
          <w:spacing w:val="11"/>
          <w:lang w:val="en-US" w:eastAsia="zh-CN"/>
        </w:rPr>
        <w:t>按支出项目类别划分：基本支出3545.4</w:t>
      </w:r>
      <w:r>
        <w:rPr>
          <w:rFonts w:hint="eastAsia"/>
          <w:spacing w:val="11"/>
          <w:lang w:val="en-US" w:eastAsia="en-US"/>
        </w:rPr>
        <w:t>万元,较上年预算安排</w:t>
      </w:r>
      <w:r>
        <w:rPr>
          <w:rFonts w:hint="eastAsia"/>
          <w:spacing w:val="11"/>
          <w:lang w:val="en-US" w:eastAsia="zh-CN"/>
        </w:rPr>
        <w:t>增加376.19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rFonts w:hint="eastAsia"/>
          <w:spacing w:val="11"/>
          <w:lang w:val="en-US" w:eastAsia="zh-CN"/>
        </w:rPr>
        <w:t>;其中：工资福利支出3285.76万元, 商品和服务支出221.66万元,对个人和家庭的补助17.97万元, 资本性支出20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lang w:eastAsia="zh-CN"/>
        </w:rPr>
      </w:pPr>
      <w:r>
        <w:rPr>
          <w:spacing w:val="5"/>
        </w:rPr>
        <w:t>按支出功能科目划分：</w:t>
      </w:r>
      <w:r>
        <w:rPr>
          <w:rFonts w:hint="eastAsia"/>
          <w:spacing w:val="11"/>
          <w:lang w:val="en-US" w:eastAsia="zh-CN"/>
        </w:rPr>
        <w:t>3545.4</w:t>
      </w:r>
      <w:r>
        <w:rPr>
          <w:rFonts w:hint="eastAsia"/>
          <w:spacing w:val="11"/>
          <w:lang w:val="en-US" w:eastAsia="en-US"/>
        </w:rPr>
        <w:t>万元,较上年预算安排</w:t>
      </w:r>
      <w:r>
        <w:rPr>
          <w:rFonts w:hint="eastAsia"/>
          <w:spacing w:val="11"/>
          <w:lang w:val="en-US" w:eastAsia="zh-CN"/>
        </w:rPr>
        <w:t>增加376.19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增长11.87%,主要原因是人员经费增加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</w:pPr>
      <w:r>
        <w:rPr>
          <w:spacing w:val="13"/>
        </w:rPr>
        <w:t>按支出经济分类划分：工资福利支出</w:t>
      </w:r>
      <w:r>
        <w:rPr>
          <w:rFonts w:hint="eastAsia"/>
          <w:spacing w:val="13"/>
          <w:lang w:val="en-US" w:eastAsia="zh-CN"/>
        </w:rPr>
        <w:t>3285.76</w:t>
      </w:r>
      <w:r>
        <w:rPr>
          <w:spacing w:val="13"/>
        </w:rPr>
        <w:t>万元,较上年</w:t>
      </w:r>
      <w:r>
        <w:rPr>
          <w:spacing w:val="6"/>
        </w:rPr>
        <w:t>预算安排增加</w:t>
      </w:r>
      <w:r>
        <w:rPr>
          <w:rFonts w:hint="eastAsia"/>
          <w:spacing w:val="6"/>
          <w:lang w:val="en-US" w:eastAsia="zh-CN"/>
        </w:rPr>
        <w:t>546.45</w:t>
      </w:r>
      <w:r>
        <w:rPr>
          <w:spacing w:val="6"/>
        </w:rPr>
        <w:t>万元</w:t>
      </w:r>
      <w:r>
        <w:rPr>
          <w:rFonts w:hint="eastAsia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spacing w:val="6"/>
        </w:rPr>
        <w:t>;商品和</w:t>
      </w:r>
      <w:r>
        <w:rPr>
          <w:spacing w:val="5"/>
        </w:rPr>
        <w:t>服务支出</w:t>
      </w:r>
      <w:r>
        <w:rPr>
          <w:rFonts w:hint="eastAsia"/>
          <w:spacing w:val="5"/>
          <w:lang w:val="en-US" w:eastAsia="zh-CN"/>
        </w:rPr>
        <w:t>221.66</w:t>
      </w:r>
      <w:r>
        <w:rPr>
          <w:spacing w:val="5"/>
        </w:rPr>
        <w:t>万元,</w:t>
      </w:r>
      <w:r>
        <w:t xml:space="preserve"> </w:t>
      </w:r>
      <w:r>
        <w:rPr>
          <w:spacing w:val="12"/>
        </w:rPr>
        <w:t>较上年预算安排</w:t>
      </w:r>
      <w:r>
        <w:rPr>
          <w:rFonts w:hint="eastAsia"/>
          <w:spacing w:val="12"/>
          <w:lang w:val="en-US" w:eastAsia="zh-CN"/>
        </w:rPr>
        <w:t>减少168.18</w:t>
      </w:r>
      <w:r>
        <w:rPr>
          <w:spacing w:val="12"/>
        </w:rPr>
        <w:t>万元</w:t>
      </w:r>
      <w:r>
        <w:rPr>
          <w:rFonts w:hint="eastAsia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主要原因是学校公用开支减少</w:t>
      </w:r>
      <w:r>
        <w:rPr>
          <w:spacing w:val="12"/>
        </w:rPr>
        <w:t>;对个人和家庭的补</w:t>
      </w:r>
      <w:r>
        <w:rPr>
          <w:spacing w:val="6"/>
        </w:rPr>
        <w:t>助</w:t>
      </w:r>
      <w:r>
        <w:rPr>
          <w:rFonts w:hint="eastAsia"/>
          <w:spacing w:val="5"/>
          <w:u w:val="none" w:color="auto"/>
          <w:lang w:val="en-US" w:eastAsia="zh-CN"/>
        </w:rPr>
        <w:t>17.97</w:t>
      </w:r>
      <w:r>
        <w:rPr>
          <w:spacing w:val="6"/>
        </w:rPr>
        <w:t>万元,较上年预算安排</w:t>
      </w:r>
      <w:r>
        <w:rPr>
          <w:rFonts w:hint="eastAsia"/>
          <w:spacing w:val="6"/>
          <w:lang w:val="en-US" w:eastAsia="zh-CN"/>
        </w:rPr>
        <w:t>减少2.07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</w:t>
      </w:r>
      <w:r>
        <w:rPr>
          <w:rFonts w:hint="eastAsia"/>
          <w:spacing w:val="5"/>
          <w:lang w:val="en-US" w:eastAsia="zh-CN"/>
        </w:rPr>
        <w:t>主要原因生活补助减少</w:t>
      </w:r>
      <w:r>
        <w:rPr>
          <w:spacing w:val="5"/>
        </w:rPr>
        <w:t>;债务利</w:t>
      </w:r>
      <w:r>
        <w:rPr>
          <w:spacing w:val="-6"/>
        </w:rPr>
        <w:t>息及费用支出</w:t>
      </w:r>
      <w:r>
        <w:rPr>
          <w:spacing w:val="-147"/>
        </w:rPr>
        <w:t xml:space="preserve"> </w:t>
      </w:r>
      <w:r>
        <w:rPr>
          <w:rFonts w:hint="eastAsia"/>
          <w:spacing w:val="-147"/>
          <w:lang w:val="en-US" w:eastAsia="zh-CN"/>
        </w:rPr>
        <w:t xml:space="preserve">      0           </w:t>
      </w:r>
      <w:r>
        <w:rPr>
          <w:rFonts w:hint="eastAsia"/>
          <w:spacing w:val="-6"/>
          <w:lang w:val="en-US" w:eastAsia="zh-CN"/>
        </w:rPr>
        <w:t>0万</w:t>
      </w:r>
      <w:r>
        <w:rPr>
          <w:spacing w:val="-6"/>
        </w:rPr>
        <w:t>元，较上年预算安排增加</w:t>
      </w:r>
      <w:r>
        <w:rPr>
          <w:rFonts w:hint="eastAsia"/>
          <w:spacing w:val="-6"/>
          <w:lang w:val="en-US" w:eastAsia="zh-CN"/>
        </w:rPr>
        <w:t>0</w:t>
      </w:r>
      <w:r>
        <w:rPr>
          <w:spacing w:val="-6"/>
        </w:rPr>
        <w:t>万</w:t>
      </w:r>
      <w:r>
        <w:rPr>
          <w:spacing w:val="12"/>
        </w:rPr>
        <w:t>元；资本性支出（基本建设）</w:t>
      </w:r>
      <w:r>
        <w:rPr>
          <w:rFonts w:hint="eastAsia"/>
          <w:spacing w:val="12"/>
          <w:lang w:val="en-US" w:eastAsia="zh-CN"/>
        </w:rPr>
        <w:t>0</w:t>
      </w:r>
      <w:r>
        <w:rPr>
          <w:spacing w:val="12"/>
        </w:rPr>
        <w:t>万元,较上年预算安排增</w:t>
      </w:r>
      <w:r>
        <w:rPr>
          <w:spacing w:val="10"/>
        </w:rPr>
        <w:t>加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10"/>
        </w:rPr>
        <w:t>万元；资本性支出</w:t>
      </w:r>
      <w:r>
        <w:rPr>
          <w:rFonts w:hint="eastAsia"/>
          <w:spacing w:val="10"/>
          <w:lang w:val="en-US" w:eastAsia="zh-CN"/>
        </w:rPr>
        <w:t>20</w:t>
      </w:r>
      <w:r>
        <w:rPr>
          <w:spacing w:val="10"/>
        </w:rPr>
        <w:t>万元,较上年预算安</w:t>
      </w:r>
      <w:r>
        <w:rPr>
          <w:spacing w:val="6"/>
        </w:rPr>
        <w:t>排</w:t>
      </w:r>
      <w:r>
        <w:rPr>
          <w:rFonts w:hint="eastAsia"/>
          <w:spacing w:val="6"/>
          <w:lang w:val="en-US" w:eastAsia="zh-CN"/>
        </w:rPr>
        <w:t>增加0</w:t>
      </w:r>
      <w:r>
        <w:rPr>
          <w:spacing w:val="6"/>
        </w:rPr>
        <w:t>万元；对企业补助（基本建设</w:t>
      </w:r>
      <w:r>
        <w:rPr>
          <w:rFonts w:hint="eastAsia"/>
          <w:spacing w:val="6"/>
          <w:lang w:eastAsia="zh-CN"/>
        </w:rPr>
        <w:t>）</w:t>
      </w:r>
      <w:r>
        <w:rPr>
          <w:rFonts w:hint="eastAsia"/>
          <w:spacing w:val="6"/>
          <w:lang w:val="en-US" w:eastAsia="zh-CN"/>
        </w:rPr>
        <w:t>0万</w:t>
      </w:r>
      <w:r>
        <w:rPr>
          <w:spacing w:val="20"/>
        </w:rPr>
        <w:t>元,较上年预算安排增加</w:t>
      </w:r>
      <w:r>
        <w:rPr>
          <w:rFonts w:hint="eastAsia"/>
          <w:spacing w:val="20"/>
          <w:lang w:val="en-US" w:eastAsia="zh-CN"/>
        </w:rPr>
        <w:t>0</w:t>
      </w:r>
      <w:r>
        <w:rPr>
          <w:spacing w:val="20"/>
        </w:rPr>
        <w:t>万元；</w:t>
      </w:r>
      <w:r>
        <w:rPr>
          <w:spacing w:val="-91"/>
        </w:rPr>
        <w:t xml:space="preserve"> </w:t>
      </w:r>
      <w:r>
        <w:rPr>
          <w:spacing w:val="20"/>
        </w:rPr>
        <w:t>对企业补助</w:t>
      </w:r>
      <w:r>
        <w:rPr>
          <w:rFonts w:hint="eastAsia"/>
          <w:position w:val="-4"/>
          <w:lang w:val="en-US" w:eastAsia="zh-CN"/>
        </w:rPr>
        <w:t>0</w:t>
      </w:r>
      <w:r>
        <w:rPr>
          <w:spacing w:val="12"/>
        </w:rPr>
        <w:t>万元,较上年预算安排增加</w:t>
      </w:r>
      <w:r>
        <w:rPr>
          <w:rFonts w:hint="eastAsia"/>
          <w:spacing w:val="12"/>
          <w:lang w:val="en-US" w:eastAsia="zh-CN"/>
        </w:rPr>
        <w:t>0</w:t>
      </w:r>
      <w:r>
        <w:rPr>
          <w:spacing w:val="12"/>
        </w:rPr>
        <w:t>万元；对社会保险</w:t>
      </w:r>
      <w:r>
        <w:rPr>
          <w:spacing w:val="2"/>
        </w:rPr>
        <w:t>基金补助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万元,较上年预算安排增加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万元；</w:t>
      </w:r>
      <w:r>
        <w:rPr>
          <w:spacing w:val="3"/>
        </w:rPr>
        <w:t>其他支出</w:t>
      </w:r>
      <w:r>
        <w:rPr>
          <w:rFonts w:hint="eastAsia"/>
          <w:spacing w:val="3"/>
          <w:lang w:val="en-US" w:eastAsia="zh-CN"/>
        </w:rPr>
        <w:t>0万</w:t>
      </w:r>
      <w:r>
        <w:rPr>
          <w:spacing w:val="3"/>
        </w:rPr>
        <w:t>元,较上年预算安排增加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</w:t>
      </w:r>
      <w:r>
        <w:rPr>
          <w:rFonts w:hint="eastAsia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</w:pPr>
      <w:r>
        <w:rPr>
          <w:b/>
          <w:bCs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</w:pPr>
      <w:r>
        <w:rPr>
          <w:rFonts w:hint="eastAsia"/>
          <w:spacing w:val="11"/>
          <w:lang w:val="en-US" w:eastAsia="zh-CN"/>
        </w:rPr>
        <w:t>2024年</w:t>
      </w:r>
      <w:r>
        <w:rPr>
          <w:spacing w:val="11"/>
        </w:rPr>
        <w:t>单位财政拨款支出预算总额</w:t>
      </w:r>
      <w:r>
        <w:rPr>
          <w:rFonts w:hint="eastAsia"/>
          <w:spacing w:val="11"/>
          <w:lang w:val="en-US" w:eastAsia="zh-CN"/>
        </w:rPr>
        <w:t>3086.45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465.24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，增长</w:t>
      </w:r>
      <w:r>
        <w:rPr>
          <w:rFonts w:hint="eastAsia"/>
          <w:spacing w:val="5"/>
          <w:lang w:val="en-US" w:eastAsia="zh-CN"/>
        </w:rPr>
        <w:t>17.75%，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spacing w:val="5"/>
        </w:rPr>
      </w:pPr>
      <w:r>
        <w:rPr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spacing w:val="11"/>
          <w:lang w:val="en-US" w:eastAsia="zh-CN"/>
        </w:rPr>
        <w:t>3086.45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465.24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，增长</w:t>
      </w:r>
      <w:r>
        <w:rPr>
          <w:rFonts w:hint="eastAsia"/>
          <w:spacing w:val="5"/>
          <w:lang w:val="en-US" w:eastAsia="zh-CN"/>
        </w:rPr>
        <w:t>17.75%，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</w:pPr>
      <w:r>
        <w:rPr>
          <w:spacing w:val="6"/>
        </w:rPr>
        <w:t>按支出项目类别划分：基本支出</w:t>
      </w:r>
      <w:r>
        <w:rPr>
          <w:rFonts w:hint="eastAsia"/>
          <w:spacing w:val="11"/>
          <w:lang w:val="en-US" w:eastAsia="zh-CN"/>
        </w:rPr>
        <w:t>3086.45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465.24</w:t>
      </w:r>
      <w:r>
        <w:rPr>
          <w:spacing w:val="5"/>
        </w:rPr>
        <w:t>万元;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人员奖金增加；</w:t>
      </w:r>
      <w:r>
        <w:rPr>
          <w:spacing w:val="6"/>
        </w:rPr>
        <w:t>其中：工</w:t>
      </w:r>
      <w:r>
        <w:rPr>
          <w:spacing w:val="5"/>
        </w:rPr>
        <w:t>资福利支出</w:t>
      </w:r>
      <w:r>
        <w:rPr>
          <w:rFonts w:hint="eastAsia"/>
          <w:spacing w:val="5"/>
          <w:lang w:val="en-US" w:eastAsia="zh-CN"/>
        </w:rPr>
        <w:t>3025.76</w:t>
      </w:r>
      <w:r>
        <w:rPr>
          <w:spacing w:val="5"/>
        </w:rPr>
        <w:t>万元,</w:t>
      </w:r>
      <w:r>
        <w:t xml:space="preserve"> </w:t>
      </w:r>
      <w:r>
        <w:rPr>
          <w:spacing w:val="11"/>
        </w:rPr>
        <w:t>商品和服务支出</w:t>
      </w:r>
      <w:r>
        <w:rPr>
          <w:rFonts w:hint="eastAsia"/>
          <w:spacing w:val="11"/>
          <w:lang w:val="en-US" w:eastAsia="zh-CN"/>
        </w:rPr>
        <w:t>42.71</w:t>
      </w:r>
      <w:r>
        <w:rPr>
          <w:spacing w:val="11"/>
        </w:rPr>
        <w:t>万元,对个人和家庭的补助</w:t>
      </w:r>
      <w:r>
        <w:rPr>
          <w:rFonts w:hint="eastAsia"/>
          <w:spacing w:val="11"/>
          <w:lang w:val="en-US" w:eastAsia="zh-CN"/>
        </w:rPr>
        <w:t>17.97</w:t>
      </w:r>
      <w:r>
        <w:rPr>
          <w:spacing w:val="10"/>
        </w:rPr>
        <w:t>万元，</w:t>
      </w:r>
      <w:r>
        <w:t xml:space="preserve"> </w:t>
      </w:r>
      <w:r>
        <w:rPr>
          <w:spacing w:val="11"/>
        </w:rPr>
        <w:t>资本性支出</w:t>
      </w:r>
      <w:r>
        <w:rPr>
          <w:rFonts w:hint="eastAsia"/>
          <w:spacing w:val="11"/>
          <w:lang w:val="en-US" w:eastAsia="zh-CN"/>
        </w:rPr>
        <w:t>0万元</w:t>
      </w:r>
      <w:r>
        <w:rPr>
          <w:spacing w:val="11"/>
        </w:rPr>
        <w:t>。项目支出</w:t>
      </w:r>
      <w:r>
        <w:rPr>
          <w:rFonts w:hint="eastAsia"/>
          <w:spacing w:val="11"/>
          <w:lang w:val="en-US" w:eastAsia="zh-CN"/>
        </w:rPr>
        <w:t>0万元</w:t>
      </w:r>
      <w:r>
        <w:rPr>
          <w:spacing w:val="11"/>
        </w:rPr>
        <w:t>较上年预</w:t>
      </w:r>
      <w:r>
        <w:rPr>
          <w:spacing w:val="10"/>
        </w:rPr>
        <w:t>算安排</w:t>
      </w:r>
      <w:r>
        <w:rPr>
          <w:spacing w:val="5"/>
        </w:rPr>
        <w:t>增加</w:t>
      </w:r>
      <w:r>
        <w:rPr>
          <w:rFonts w:hint="eastAsia"/>
          <w:spacing w:val="5"/>
          <w:lang w:val="en-US" w:eastAsia="zh-CN"/>
        </w:rPr>
        <w:t>0万</w:t>
      </w:r>
      <w:r>
        <w:rPr>
          <w:spacing w:val="5"/>
        </w:rPr>
        <w:t>元;其中：工资福利支出</w:t>
      </w:r>
      <w:r>
        <w:rPr>
          <w:rFonts w:hint="eastAsia"/>
          <w:spacing w:val="5"/>
          <w:lang w:val="en-US" w:eastAsia="zh-CN"/>
        </w:rPr>
        <w:t>0万</w:t>
      </w:r>
      <w:r>
        <w:rPr>
          <w:spacing w:val="5"/>
        </w:rPr>
        <w:t>元,商品</w:t>
      </w:r>
      <w:r>
        <w:rPr>
          <w:spacing w:val="15"/>
        </w:rPr>
        <w:t>和服务支出</w:t>
      </w:r>
      <w:r>
        <w:rPr>
          <w:rFonts w:hint="eastAsia"/>
          <w:spacing w:val="15"/>
          <w:lang w:val="en-US" w:eastAsia="zh-CN"/>
        </w:rPr>
        <w:t>0万</w:t>
      </w:r>
      <w:r>
        <w:rPr>
          <w:spacing w:val="15"/>
        </w:rPr>
        <w:t>元,对个人和家庭的补助</w:t>
      </w:r>
      <w:r>
        <w:rPr>
          <w:rFonts w:hint="eastAsia"/>
          <w:spacing w:val="15"/>
          <w:lang w:val="en-US" w:eastAsia="zh-CN"/>
        </w:rPr>
        <w:t>0万</w:t>
      </w:r>
      <w:r>
        <w:rPr>
          <w:spacing w:val="15"/>
        </w:rPr>
        <w:t>元,债务</w:t>
      </w:r>
      <w:r>
        <w:rPr>
          <w:spacing w:val="6"/>
        </w:rPr>
        <w:t>利息及费用支出</w:t>
      </w:r>
      <w:r>
        <w:rPr>
          <w:rFonts w:hint="eastAsia"/>
          <w:spacing w:val="6"/>
          <w:lang w:val="en-US" w:eastAsia="zh-CN"/>
        </w:rPr>
        <w:t>0万</w:t>
      </w:r>
      <w:r>
        <w:rPr>
          <w:spacing w:val="6"/>
        </w:rPr>
        <w:t>元，资本性支出（基本建设</w:t>
      </w:r>
      <w:r>
        <w:rPr>
          <w:rFonts w:hint="eastAsia"/>
          <w:spacing w:val="6"/>
          <w:lang w:val="en-US" w:eastAsia="zh-CN"/>
        </w:rPr>
        <w:t>0万</w:t>
      </w:r>
      <w:r>
        <w:rPr>
          <w:spacing w:val="11"/>
        </w:rPr>
        <w:t>元,资本性支出</w:t>
      </w:r>
      <w:r>
        <w:rPr>
          <w:spacing w:val="-151"/>
        </w:rPr>
        <w:t xml:space="preserve"> 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rFonts w:hint="eastAsia"/>
          <w:spacing w:val="11"/>
          <w:lang w:val="en-US" w:eastAsia="zh-CN"/>
        </w:rPr>
        <w:t>0万</w:t>
      </w:r>
      <w:r>
        <w:rPr>
          <w:spacing w:val="11"/>
        </w:rPr>
        <w:t>元</w:t>
      </w:r>
      <w:r>
        <w:rPr>
          <w:rFonts w:hint="eastAsia"/>
          <w:spacing w:val="11"/>
          <w:lang w:eastAsia="zh-CN"/>
        </w:rPr>
        <w:t>，</w:t>
      </w:r>
      <w:r>
        <w:rPr>
          <w:spacing w:val="11"/>
        </w:rPr>
        <w:t>对企业补助</w:t>
      </w:r>
      <w:r>
        <w:rPr>
          <w:rFonts w:hint="eastAsia"/>
          <w:spacing w:val="-148"/>
          <w:lang w:val="en-US" w:eastAsia="zh-CN"/>
        </w:rPr>
        <w:t xml:space="preserve">0                         </w:t>
      </w:r>
      <w:r>
        <w:rPr>
          <w:rFonts w:hint="eastAsia"/>
          <w:spacing w:val="11"/>
          <w:lang w:val="en-US" w:eastAsia="zh-CN"/>
        </w:rPr>
        <w:t>0万</w:t>
      </w:r>
      <w:r>
        <w:rPr>
          <w:rFonts w:hint="eastAsia"/>
          <w:spacing w:val="11"/>
          <w:lang w:eastAsia="zh-CN"/>
        </w:rPr>
        <w:t>元，</w:t>
      </w:r>
      <w:r>
        <w:rPr>
          <w:spacing w:val="11"/>
        </w:rPr>
        <w:t>其</w:t>
      </w:r>
      <w:r>
        <w:rPr>
          <w:spacing w:val="10"/>
        </w:rPr>
        <w:t>他支出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sz w:val="21"/>
        </w:rPr>
      </w:pPr>
      <w:r>
        <w:rPr>
          <w:rFonts w:hint="eastAsia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</w:pPr>
      <w:r>
        <w:rPr>
          <w:b/>
          <w:bCs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/>
          <w:spacing w:val="7"/>
          <w:lang w:eastAsia="zh-CN"/>
        </w:rPr>
        <w:t>本单位非行政</w:t>
      </w:r>
      <w:r>
        <w:rPr>
          <w:spacing w:val="7"/>
        </w:rPr>
        <w:t>参公单位，无机关运行经费</w:t>
      </w:r>
      <w:r>
        <w:rPr>
          <w:rFonts w:hint="eastAsia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</w:pPr>
      <w:r>
        <w:rPr>
          <w:b/>
          <w:bCs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年单位政府采购</w:t>
      </w:r>
      <w:r>
        <w:rPr>
          <w:rFonts w:hint="eastAsia"/>
          <w:spacing w:val="11"/>
          <w:lang w:val="en-US" w:eastAsia="zh-CN"/>
        </w:rPr>
        <w:t>预算</w:t>
      </w:r>
      <w:bookmarkStart w:id="0" w:name="_GoBack"/>
      <w:bookmarkEnd w:id="0"/>
      <w:r>
        <w:rPr>
          <w:spacing w:val="11"/>
        </w:rPr>
        <w:t>总额</w:t>
      </w:r>
      <w:r>
        <w:rPr>
          <w:rFonts w:hint="eastAsia"/>
          <w:spacing w:val="11"/>
          <w:lang w:val="en-US" w:eastAsia="zh-CN"/>
        </w:rPr>
        <w:t>20</w:t>
      </w:r>
      <w:r>
        <w:rPr>
          <w:spacing w:val="11"/>
        </w:rPr>
        <w:t>万元,其中: 政</w:t>
      </w:r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20</w:t>
      </w:r>
      <w:r>
        <w:rPr>
          <w:spacing w:val="19"/>
        </w:rPr>
        <w:t>万元,政府采购工程预算</w:t>
      </w:r>
      <w:r>
        <w:rPr>
          <w:rFonts w:hint="eastAsia"/>
          <w:spacing w:val="19"/>
          <w:lang w:val="en-US" w:eastAsia="zh-CN"/>
        </w:rPr>
        <w:t>0万</w:t>
      </w:r>
      <w:r>
        <w:rPr>
          <w:spacing w:val="19"/>
        </w:rPr>
        <w:t>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2.7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2.7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0.3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ascii="Arial"/>
          <w:sz w:val="21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val="en-US"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spacing w:val="9"/>
          <w:lang w:eastAsia="zh-CN"/>
        </w:r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28" w:firstLineChars="0"/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  <w:r>
        <w:drawing>
          <wp:inline distT="0" distB="0" distL="114300" distR="114300">
            <wp:extent cx="8731885" cy="5523230"/>
            <wp:effectExtent l="0" t="0" r="127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188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24900" cy="1910080"/>
            <wp:effectExtent l="0" t="0" r="139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49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50300" cy="2570480"/>
            <wp:effectExtent l="0" t="0" r="127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86165" cy="5225415"/>
            <wp:effectExtent l="0" t="0" r="133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6165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01405" cy="2558415"/>
            <wp:effectExtent l="0" t="0" r="1333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140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07425" cy="4851400"/>
            <wp:effectExtent l="0" t="0" r="635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742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60460" cy="1579880"/>
            <wp:effectExtent l="0" t="0" r="127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046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50935" cy="199263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93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56320" cy="1781810"/>
            <wp:effectExtent l="0" t="0" r="8890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632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5B4AD9"/>
    <w:rsid w:val="00706624"/>
    <w:rsid w:val="021D103F"/>
    <w:rsid w:val="09B55ABD"/>
    <w:rsid w:val="110747DF"/>
    <w:rsid w:val="11A46B44"/>
    <w:rsid w:val="17092CF1"/>
    <w:rsid w:val="1C695AD2"/>
    <w:rsid w:val="1D435406"/>
    <w:rsid w:val="227F289C"/>
    <w:rsid w:val="273024D2"/>
    <w:rsid w:val="28C32CA0"/>
    <w:rsid w:val="28CB4F5D"/>
    <w:rsid w:val="2B7C34CD"/>
    <w:rsid w:val="363249A3"/>
    <w:rsid w:val="38CD7180"/>
    <w:rsid w:val="3BA55752"/>
    <w:rsid w:val="456A3DB0"/>
    <w:rsid w:val="46A55988"/>
    <w:rsid w:val="477C0820"/>
    <w:rsid w:val="498321B7"/>
    <w:rsid w:val="4F2E0F4F"/>
    <w:rsid w:val="5B463751"/>
    <w:rsid w:val="5DFA28E8"/>
    <w:rsid w:val="5EFE3FD1"/>
    <w:rsid w:val="5F6C15F8"/>
    <w:rsid w:val="5FCE6740"/>
    <w:rsid w:val="65BF2EF7"/>
    <w:rsid w:val="798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3058</Words>
  <Characters>3326</Characters>
  <Lines>0</Lines>
  <Paragraphs>0</Paragraphs>
  <TotalTime>1</TotalTime>
  <ScaleCrop>false</ScaleCrop>
  <LinksUpToDate>false</LinksUpToDate>
  <CharactersWithSpaces>3451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