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竞晖学校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竞晖学校单位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  <w:lang w:eastAsia="zh-CN"/>
        </w:rPr>
      </w:pPr>
      <w:r>
        <w:rPr>
          <w:rFonts w:hint="eastAsia" w:ascii="Calibri" w:hAnsi="Calibri" w:eastAsia="仿宋_GB2312"/>
          <w:color w:val="auto"/>
          <w:sz w:val="30"/>
          <w:szCs w:val="30"/>
        </w:rPr>
        <w:t>南昌市新建区</w:t>
      </w:r>
      <w:r>
        <w:rPr>
          <w:rFonts w:hint="eastAsia" w:eastAsia="仿宋_GB2312"/>
          <w:color w:val="auto"/>
          <w:sz w:val="30"/>
          <w:szCs w:val="30"/>
          <w:lang w:eastAsia="zh-CN"/>
        </w:rPr>
        <w:t>竞晖学校</w:t>
      </w:r>
      <w:r>
        <w:rPr>
          <w:rFonts w:hint="eastAsia" w:ascii="Calibri" w:hAnsi="Calibri" w:eastAsia="仿宋_GB2312"/>
          <w:color w:val="auto"/>
          <w:sz w:val="30"/>
          <w:szCs w:val="30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int="eastAsia" w:ascii="Calibri" w:hAnsi="Calibri" w:eastAsia="仿宋_GB2312"/>
          <w:color w:val="auto"/>
          <w:sz w:val="30"/>
          <w:szCs w:val="30"/>
        </w:rPr>
        <w:t>实施</w:t>
      </w:r>
      <w:r>
        <w:rPr>
          <w:rFonts w:hint="eastAsia" w:eastAsia="仿宋_GB2312"/>
          <w:color w:val="auto"/>
          <w:sz w:val="30"/>
          <w:szCs w:val="30"/>
          <w:lang w:eastAsia="zh-CN"/>
        </w:rPr>
        <w:t>九年</w:t>
      </w:r>
      <w:r>
        <w:rPr>
          <w:rFonts w:hint="eastAsia" w:ascii="Calibri" w:hAnsi="Calibri" w:eastAsia="仿宋_GB2312"/>
          <w:color w:val="auto"/>
          <w:sz w:val="30"/>
          <w:szCs w:val="30"/>
        </w:rPr>
        <w:t>义务教育，促进基础教育发展。</w:t>
      </w:r>
      <w:r>
        <w:rPr>
          <w:rFonts w:hint="eastAsia" w:eastAsia="仿宋_GB2312"/>
          <w:color w:val="auto"/>
          <w:sz w:val="30"/>
          <w:szCs w:val="30"/>
          <w:lang w:eastAsia="zh-CN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竞晖学校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249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249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261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249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249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竞晖学校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竞晖学校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8006.04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437.78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增长6.29%,主要原因是人员经费增加；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4429.93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517.63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523.08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减少1693.92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 xml:space="preserve"> 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学校收费增加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3053.03万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元，较上年预算安排减少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1650.07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学校课后服务、其他单位拨款减少。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8006.04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437.78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增长6.29%,主要原因是人员经费增加；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8006.04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437.78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主要原因是人员经费增加；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6474.05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1500.64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8.85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0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按支出功能科目划分：教育支出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8006.04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17"/>
          <w:lang w:val="en-US" w:eastAsia="zh-CN"/>
          <w14:textFill>
            <w14:solidFill>
              <w14:schemeClr w14:val="tx1"/>
            </w14:solidFill>
          </w14:textFill>
        </w:rPr>
        <w:t>437.78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增长6.29%,主要原因是人员经费增加；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6474.05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1380.32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主要原因是人员奖金支出增加。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1500.64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902.41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主要原因是学校公用开支增加；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15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8.85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0.37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主要原因是学校生活补助增加；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；对企业补助（基本建设）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4429.93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517.63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13.23%，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4429.93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517.63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13.23%，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4429.93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517.63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人员奖金增加；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4370.65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50.43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8.85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万元;其中：工资福利支出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万元，资本性支出（基本建设）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color w:val="000000" w:themeColor="text1"/>
          <w:spacing w:val="-15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-139"/>
          <w:lang w:val="en-US" w:eastAsia="zh-CN"/>
          <w14:textFill>
            <w14:solidFill>
              <w14:schemeClr w14:val="tx1"/>
            </w14:solidFill>
          </w14:textFill>
        </w:rPr>
        <w:t xml:space="preserve">0           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</w:t>
      </w:r>
      <w:r>
        <w:rPr>
          <w:spacing w:val="4"/>
        </w:rPr>
        <w:t>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4.5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4.5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0.5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718550" cy="4359275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855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18245" cy="1891030"/>
            <wp:effectExtent l="0" t="0" r="146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96325" cy="2559685"/>
            <wp:effectExtent l="0" t="0" r="1270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632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34755" cy="2359660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475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18245" cy="2841625"/>
            <wp:effectExtent l="0" t="0" r="1587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250555" cy="5363845"/>
            <wp:effectExtent l="0" t="0" r="8255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055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8946515" cy="1298575"/>
            <wp:effectExtent l="0" t="0" r="1587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4651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88730" cy="1779270"/>
            <wp:effectExtent l="0" t="0" r="1143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873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999855" cy="1701800"/>
            <wp:effectExtent l="0" t="0" r="1270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98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OGVlYjFmZGJkNTRkM2Q0YTMwYTI0YzUwYmZkOTcifQ=="/>
  </w:docVars>
  <w:rsids>
    <w:rsidRoot w:val="28C32CA0"/>
    <w:rsid w:val="28C32CA0"/>
    <w:rsid w:val="326B30B3"/>
    <w:rsid w:val="42CE39BD"/>
    <w:rsid w:val="6E8F2E8E"/>
    <w:rsid w:val="71A16CF6"/>
    <w:rsid w:val="73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8BCF294D29A645D8AD8F14ECD5C43897_13</vt:lpwstr>
  </property>
</Properties>
</file>