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</w:rPr>
        <w:t>南昌市新建区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望城中心小学</w:t>
      </w: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83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b/>
          <w:bCs/>
        </w:rPr>
        <w:t>单位概况</w:t>
      </w:r>
    </w:p>
    <w:p>
      <w:pPr>
        <w:pStyle w:val="2"/>
        <w:spacing w:before="253" w:line="221" w:lineRule="auto"/>
        <w:ind w:left="1325"/>
      </w:pPr>
      <w:r>
        <w:rPr>
          <w:spacing w:val="5"/>
        </w:rPr>
        <w:t>一、单位主要职责</w:t>
      </w:r>
    </w:p>
    <w:p>
      <w:pPr>
        <w:pStyle w:val="2"/>
        <w:spacing w:before="253" w:line="222" w:lineRule="auto"/>
        <w:ind w:left="1323"/>
      </w:pPr>
      <w:r>
        <w:rPr>
          <w:spacing w:val="7"/>
        </w:rPr>
        <w:t>二、机构设置及人员情况</w:t>
      </w:r>
    </w:p>
    <w:p>
      <w:pPr>
        <w:pStyle w:val="2"/>
        <w:spacing w:before="251" w:line="221" w:lineRule="auto"/>
        <w:ind w:left="683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2"/>
        <w:spacing w:before="253" w:line="624" w:lineRule="exact"/>
        <w:ind w:left="1325"/>
      </w:pPr>
      <w:r>
        <w:rPr>
          <w:spacing w:val="-10"/>
          <w:position w:val="23"/>
        </w:rPr>
        <w:t>一、《收支预算总表》</w:t>
      </w:r>
    </w:p>
    <w:p>
      <w:pPr>
        <w:pStyle w:val="2"/>
        <w:spacing w:line="221" w:lineRule="auto"/>
        <w:ind w:left="1323"/>
      </w:pPr>
      <w:r>
        <w:rPr>
          <w:spacing w:val="-10"/>
        </w:rPr>
        <w:t>二、《单位收入总表》</w:t>
      </w:r>
    </w:p>
    <w:p>
      <w:pPr>
        <w:pStyle w:val="2"/>
        <w:spacing w:before="253" w:line="221" w:lineRule="auto"/>
        <w:ind w:left="1329"/>
      </w:pPr>
      <w:r>
        <w:rPr>
          <w:spacing w:val="-11"/>
        </w:rPr>
        <w:t>三、《单位支出总表》</w:t>
      </w:r>
    </w:p>
    <w:p>
      <w:pPr>
        <w:pStyle w:val="2"/>
        <w:spacing w:before="253" w:line="223" w:lineRule="auto"/>
        <w:ind w:left="1343"/>
      </w:pPr>
      <w:r>
        <w:rPr>
          <w:spacing w:val="-8"/>
        </w:rPr>
        <w:t>四、《财政拨款收支总表》</w:t>
      </w:r>
    </w:p>
    <w:p>
      <w:pPr>
        <w:pStyle w:val="2"/>
        <w:spacing w:before="249" w:line="222" w:lineRule="auto"/>
        <w:ind w:left="1316"/>
      </w:pPr>
      <w:r>
        <w:rPr>
          <w:spacing w:val="-5"/>
        </w:rPr>
        <w:t>五、《一般公共预算支出表》</w:t>
      </w:r>
    </w:p>
    <w:p>
      <w:pPr>
        <w:pStyle w:val="2"/>
        <w:spacing w:before="251" w:line="222" w:lineRule="auto"/>
        <w:ind w:left="1319"/>
      </w:pPr>
      <w:r>
        <w:rPr>
          <w:spacing w:val="-3"/>
        </w:rPr>
        <w:t>六、《一般公共预算基本支出表》</w:t>
      </w:r>
    </w:p>
    <w:p>
      <w:pPr>
        <w:pStyle w:val="2"/>
        <w:spacing w:before="252" w:line="223" w:lineRule="auto"/>
        <w:ind w:left="1313"/>
      </w:pPr>
      <w:r>
        <w:rPr>
          <w:spacing w:val="-7"/>
        </w:rPr>
        <w:t>七、《财政拨款</w:t>
      </w:r>
      <w:r>
        <w:rPr>
          <w:spacing w:val="-89"/>
        </w:rPr>
        <w:t xml:space="preserve"> </w:t>
      </w:r>
      <w:r>
        <w:rPr>
          <w:spacing w:val="-7"/>
        </w:rPr>
        <w:t>“</w:t>
      </w:r>
      <w:r>
        <w:rPr>
          <w:spacing w:val="-118"/>
        </w:rPr>
        <w:t xml:space="preserve"> </w:t>
      </w:r>
      <w:r>
        <w:rPr>
          <w:spacing w:val="-7"/>
        </w:rPr>
        <w:t>三公”经费支出表》</w:t>
      </w:r>
    </w:p>
    <w:p>
      <w:pPr>
        <w:pStyle w:val="2"/>
        <w:spacing w:before="249" w:line="220" w:lineRule="auto"/>
        <w:ind w:left="1312"/>
      </w:pPr>
      <w:r>
        <w:rPr>
          <w:spacing w:val="-4"/>
        </w:rPr>
        <w:t>八、《政府性基金预算支出表》</w:t>
      </w:r>
    </w:p>
    <w:p>
      <w:pPr>
        <w:pStyle w:val="2"/>
        <w:spacing w:before="255" w:line="624" w:lineRule="exact"/>
        <w:ind w:left="1309"/>
      </w:pPr>
      <w:r>
        <w:rPr>
          <w:spacing w:val="-3"/>
          <w:position w:val="23"/>
        </w:rPr>
        <w:t>九、《国有资本经营预算支出表》</w:t>
      </w:r>
    </w:p>
    <w:p>
      <w:pPr>
        <w:pStyle w:val="2"/>
        <w:spacing w:line="222" w:lineRule="auto"/>
        <w:ind w:left="1319"/>
      </w:pPr>
      <w:r>
        <w:rPr>
          <w:spacing w:val="-8"/>
        </w:rPr>
        <w:t>十、《项目绩效目标表》</w:t>
      </w:r>
    </w:p>
    <w:p>
      <w:pPr>
        <w:pStyle w:val="2"/>
        <w:spacing w:before="251" w:line="221" w:lineRule="auto"/>
        <w:ind w:left="683"/>
      </w:pPr>
      <w:r>
        <w:rPr>
          <w:b/>
          <w:bCs/>
          <w:spacing w:val="5"/>
        </w:rPr>
        <w:t>第三部分</w:t>
      </w:r>
      <w:r>
        <w:rPr>
          <w:spacing w:val="5"/>
        </w:rPr>
        <w:t xml:space="preserve"> </w:t>
      </w:r>
      <w:r>
        <w:rPr>
          <w:spacing w:val="4"/>
        </w:rPr>
        <w:t xml:space="preserve"> </w:t>
      </w:r>
      <w:r>
        <w:rPr>
          <w:rFonts w:hint="eastAsia"/>
          <w:b/>
          <w:bCs/>
          <w:lang w:val="en-US" w:eastAsia="zh-CN"/>
        </w:rPr>
        <w:t>2024</w:t>
      </w:r>
      <w:r>
        <w:rPr>
          <w:b/>
          <w:bCs/>
          <w:spacing w:val="5"/>
        </w:rPr>
        <w:t>年单位预算情况说明</w:t>
      </w:r>
    </w:p>
    <w:p>
      <w:pPr>
        <w:pStyle w:val="2"/>
        <w:spacing w:before="253" w:line="221" w:lineRule="auto"/>
        <w:ind w:left="1325"/>
      </w:pPr>
      <w:r>
        <w:rPr>
          <w:spacing w:val="7"/>
        </w:rPr>
        <w:t>一、</w:t>
      </w:r>
      <w:r>
        <w:rPr>
          <w:rFonts w:hint="eastAsia"/>
          <w:spacing w:val="7"/>
          <w:lang w:val="en-US" w:eastAsia="zh-CN"/>
        </w:rPr>
        <w:t>2024</w:t>
      </w:r>
      <w:r>
        <w:rPr>
          <w:spacing w:val="7"/>
        </w:rPr>
        <w:t>年单位预算收支情况说明</w:t>
      </w:r>
    </w:p>
    <w:p>
      <w:pPr>
        <w:pStyle w:val="2"/>
        <w:spacing w:before="252" w:line="222" w:lineRule="auto"/>
        <w:ind w:left="1323"/>
      </w:pPr>
      <w:r>
        <w:rPr>
          <w:spacing w:val="2"/>
        </w:rPr>
        <w:t>二、</w:t>
      </w: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年</w:t>
      </w:r>
      <w:r>
        <w:rPr>
          <w:spacing w:val="-98"/>
        </w:rPr>
        <w:t xml:space="preserve"> </w:t>
      </w:r>
      <w:r>
        <w:rPr>
          <w:spacing w:val="2"/>
        </w:rPr>
        <w:t>“</w:t>
      </w:r>
      <w:r>
        <w:rPr>
          <w:spacing w:val="-119"/>
        </w:rPr>
        <w:t xml:space="preserve"> </w:t>
      </w:r>
      <w:r>
        <w:rPr>
          <w:spacing w:val="2"/>
        </w:rPr>
        <w:t>三公”经费预算情况说明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02" w:line="222" w:lineRule="auto"/>
        <w:ind w:left="683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</w:t>
      </w:r>
      <w:r>
        <w:rPr>
          <w:b/>
          <w:bCs/>
          <w:spacing w:val="4"/>
        </w:rPr>
        <w:t>名词解释</w:t>
      </w:r>
    </w:p>
    <w:p>
      <w:pPr>
        <w:spacing w:line="222" w:lineRule="auto"/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jc w:val="center"/>
      </w:pPr>
      <w:r>
        <w:rPr>
          <w:b/>
          <w:bCs/>
        </w:rPr>
        <w:t>第一部分</w:t>
      </w:r>
      <w:r>
        <w:rPr>
          <w:spacing w:val="2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望城中心小学单位</w:t>
      </w:r>
      <w:r>
        <w:rPr>
          <w:b/>
          <w:bCs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00" w:firstLineChars="200"/>
        <w:rPr>
          <w:rFonts w:hint="eastAsia"/>
          <w:kern w:val="1"/>
          <w:sz w:val="28"/>
          <w:szCs w:val="28"/>
        </w:rPr>
      </w:pPr>
      <w:r>
        <w:rPr>
          <w:rFonts w:hint="eastAsia" w:eastAsia="仿宋_GB2312"/>
          <w:sz w:val="30"/>
          <w:szCs w:val="30"/>
        </w:rPr>
        <w:t>南昌市新建区望城中心小学实施义务教育，促进基础教育发展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/>
          <w:kern w:val="1"/>
          <w:sz w:val="28"/>
          <w:szCs w:val="28"/>
        </w:rPr>
        <w:t>全面贯彻执行国家的教育方针、政策及国家相关的法律法规；</w:t>
      </w:r>
      <w:r>
        <w:rPr>
          <w:rFonts w:ascii="Times New Roman" w:hAnsi="Times New Roman"/>
          <w:kern w:val="1"/>
          <w:sz w:val="28"/>
          <w:szCs w:val="28"/>
        </w:rPr>
        <w:t> </w:t>
      </w:r>
      <w:r>
        <w:rPr>
          <w:kern w:val="1"/>
          <w:sz w:val="28"/>
          <w:szCs w:val="28"/>
        </w:rPr>
        <w:t>实施素质教育，按照规定标准完成教育教学任务，保证教育教学质量；加强安全和后勤服务工作，为教育教学提供保障</w:t>
      </w:r>
      <w:r>
        <w:rPr>
          <w:rFonts w:hint="eastAsia"/>
          <w:kern w:val="1"/>
          <w:sz w:val="28"/>
          <w:szCs w:val="28"/>
        </w:rPr>
        <w:t>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年南昌市新建区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望城中心小学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142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142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229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142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142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85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zh-CN" w:bidi="ar-SA"/>
        </w:rPr>
        <w:t>2</w:t>
      </w:r>
      <w:r>
        <w:rPr>
          <w:rFonts w:hint="eastAsia"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pStyle w:val="3"/>
        <w:ind w:left="0" w:leftChars="0" w:firstLine="0" w:firstLineChars="0"/>
        <w:rPr>
          <w:rFonts w:ascii="Arial"/>
          <w:sz w:val="21"/>
        </w:rPr>
      </w:pPr>
    </w:p>
    <w:p>
      <w:pPr>
        <w:pStyle w:val="3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jc w:val="center"/>
      </w:pPr>
      <w:r>
        <w:rPr>
          <w:b/>
          <w:bCs/>
          <w:spacing w:val="4"/>
        </w:rPr>
        <w:t>第二部分</w:t>
      </w:r>
      <w:r>
        <w:rPr>
          <w:spacing w:val="4"/>
        </w:rPr>
        <w:t xml:space="preserve">  </w:t>
      </w:r>
      <w:r>
        <w:rPr>
          <w:rFonts w:hint="eastAsia"/>
          <w:b/>
          <w:bCs/>
        </w:rPr>
        <w:t>南昌市新建区</w:t>
      </w:r>
      <w:r>
        <w:rPr>
          <w:rFonts w:hint="eastAsia"/>
          <w:b/>
          <w:bCs/>
          <w:lang w:eastAsia="zh-CN"/>
        </w:rPr>
        <w:t>望城中心小学</w:t>
      </w:r>
      <w:r>
        <w:rPr>
          <w:rFonts w:hint="eastAsia"/>
          <w:b/>
          <w:bCs/>
          <w:spacing w:val="4"/>
          <w:lang w:val="en-US" w:eastAsia="zh-CN"/>
        </w:rPr>
        <w:t>2024</w:t>
      </w:r>
      <w:r>
        <w:rPr>
          <w:b/>
          <w:bCs/>
          <w:spacing w:val="4"/>
        </w:rPr>
        <w:t>年单位预算表</w:t>
      </w:r>
    </w:p>
    <w:p>
      <w:pPr>
        <w:pStyle w:val="2"/>
        <w:spacing w:before="171" w:line="226" w:lineRule="auto"/>
        <w:ind w:left="680"/>
      </w:pPr>
      <w:r>
        <w:rPr>
          <w:spacing w:val="3"/>
        </w:rPr>
        <w:t>（详见附表）</w:t>
      </w:r>
    </w:p>
    <w:p>
      <w:pPr>
        <w:pStyle w:val="3"/>
        <w:ind w:left="0" w:leftChars="0" w:firstLine="0" w:firstLineChars="0"/>
        <w:rPr>
          <w:rFonts w:ascii="Arial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pStyle w:val="2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000000" w:themeColor="text1"/>
          <w:kern w:val="2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没有相关收支预算安排。）</w:t>
      </w:r>
    </w:p>
    <w:p>
      <w:pPr>
        <w:spacing w:line="256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1" w:lineRule="auto"/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1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  <w:t>第三部分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南昌市新建区</w:t>
      </w:r>
      <w:r>
        <w:rPr>
          <w:rFonts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望城中心小学</w:t>
      </w:r>
      <w:r>
        <w:rPr>
          <w:rFonts w:hint="eastAsia"/>
          <w:b/>
          <w:bCs/>
          <w:color w:val="000000" w:themeColor="text1"/>
          <w:spacing w:val="4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b/>
          <w:bCs/>
          <w:color w:val="000000" w:themeColor="text1"/>
          <w:spacing w:val="4"/>
          <w14:textFill>
            <w14:solidFill>
              <w14:schemeClr w14:val="tx1"/>
            </w14:solidFill>
          </w14:textFill>
        </w:rPr>
        <w:t>年</w:t>
      </w:r>
      <w:r>
        <w:rPr>
          <w:b/>
          <w:bCs/>
          <w:color w:val="000000" w:themeColor="text1"/>
          <w:spacing w:val="5"/>
          <w14:textFill>
            <w14:solidFill>
              <w14:schemeClr w14:val="tx1"/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spacing w:line="341" w:lineRule="auto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eastAsia="楷体"/>
          <w:b/>
          <w:bCs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  <w:t>年预算收支情况说明</w:t>
      </w: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000000" w:themeColor="text1"/>
          <w:spacing w:val="6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01" w:line="222" w:lineRule="auto"/>
        <w:ind w:left="7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(一)收入预算情况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年收入预算总额为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3848.67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370.35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增长10.65%，主要原因是人员经费增加。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其中财政拨款收入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2988.77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370.45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，主要原因是人员奖金增加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;教育收费资金收入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250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减少20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，主要原因是学校收费减少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;其他收入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609.9万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元，较上年预算安排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增加19.9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，主要原因是学校课后服务及其他单位拨款增加。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(二)支出预算情况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年支出预算总额为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3848.67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370.35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增长10.65%，主要原因是人员经费支出增加。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 xml:space="preserve"> 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按支出项目类别划分： 基本支出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3848.67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370.35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，主要原因是人员经费支出增加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;其中：工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资福利支出</w:t>
      </w:r>
      <w:r>
        <w:rPr>
          <w:rFonts w:hint="eastAsia"/>
          <w:color w:val="000000" w:themeColor="text1"/>
          <w:spacing w:val="5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2942.94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商品和服务支出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875.22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4.01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资本性支出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26.5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万元。项目支出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算安排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万元;其中：工资福利支出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万元,商品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万元,</w:t>
      </w:r>
      <w:r>
        <w:rPr>
          <w:rFonts w:hint="eastAsia"/>
          <w:color w:val="000000" w:themeColor="text1"/>
          <w:spacing w:val="15"/>
          <w:lang w:eastAsia="zh-CN"/>
          <w14:textFill>
            <w14:solidFill>
              <w14:schemeClr w14:val="tx1"/>
            </w14:solidFill>
          </w14:textFill>
        </w:rPr>
        <w:t>债务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利息及费用支出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0万元，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资本性支出（基本建设）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元,资本性支出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万元，对企业补助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万元，其他支出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按支出功能科目划分：教育支出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3848.67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370.35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，增长10.65%，主要原因是人员经费支出增加。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按支出经济分类划分：工资福利支出</w:t>
      </w:r>
      <w:r>
        <w:rPr>
          <w:rFonts w:hint="eastAsia"/>
          <w:color w:val="000000" w:themeColor="text1"/>
          <w:spacing w:val="13"/>
          <w:lang w:val="en-US" w:eastAsia="zh-CN"/>
          <w14:textFill>
            <w14:solidFill>
              <w14:schemeClr w14:val="tx1"/>
            </w14:solidFill>
          </w14:textFill>
        </w:rPr>
        <w:t>2942.94</w:t>
      </w: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万元,较上年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预算安排增加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140.98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主要原因是人员奖金支出增加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;商品和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服务支出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875.22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较上年预算安排</w:t>
      </w:r>
      <w:r>
        <w:rPr>
          <w:rFonts w:hint="eastAsia"/>
          <w:color w:val="000000" w:themeColor="text1"/>
          <w:spacing w:val="1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233.55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主要原因是学校公用支出增加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;对个人和家庭的补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助</w:t>
      </w:r>
      <w:r>
        <w:rPr>
          <w:rFonts w:hint="eastAsia"/>
          <w:color w:val="000000" w:themeColor="text1"/>
          <w:spacing w:val="5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4.01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万元,较上年预算安排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0.68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主要原因是学校生活补助减少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;债务利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息及费用支出</w:t>
      </w:r>
      <w:r>
        <w:rPr>
          <w:color w:val="000000" w:themeColor="text1"/>
          <w:spacing w:val="-14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-147"/>
          <w:lang w:val="en-US" w:eastAsia="zh-CN"/>
          <w14:textFill>
            <w14:solidFill>
              <w14:schemeClr w14:val="tx1"/>
            </w14:solidFill>
          </w14:textFill>
        </w:rPr>
        <w:t xml:space="preserve">      0           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万元，较上年预算安排增加</w:t>
      </w:r>
      <w:r>
        <w:rPr>
          <w:rFonts w:hint="eastAsia"/>
          <w:color w:val="000000" w:themeColor="text1"/>
          <w:spacing w:val="-6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元；资本性支出（基本建设）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万元,较上年预算安排增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加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2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万元；资本性支出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26.5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万元,较上年预算安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排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3.5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6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主要原因是学校政府采购支出减少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；对企业补助（基本建设）</w:t>
      </w:r>
      <w:r>
        <w:rPr>
          <w:color w:val="000000" w:themeColor="text1"/>
          <w:spacing w:val="-12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-125"/>
          <w:lang w:val="en-US" w:eastAsia="zh-CN"/>
          <w14:textFill>
            <w14:solidFill>
              <w14:schemeClr w14:val="tx1"/>
            </w14:solidFill>
          </w14:textFill>
        </w:rPr>
        <w:t xml:space="preserve">0    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元,较上年预算安排增加</w:t>
      </w:r>
      <w:r>
        <w:rPr>
          <w:rFonts w:hint="eastAsia"/>
          <w:color w:val="000000" w:themeColor="text1"/>
          <w:spacing w:val="2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万元；</w:t>
      </w:r>
      <w:r>
        <w:rPr>
          <w:color w:val="000000" w:themeColor="text1"/>
          <w:spacing w:val="-9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20"/>
          <w14:textFill>
            <w14:solidFill>
              <w14:schemeClr w14:val="tx1"/>
            </w14:solidFill>
          </w14:textFill>
        </w:rPr>
        <w:t>对企业补助</w:t>
      </w:r>
      <w:r>
        <w:rPr>
          <w:rFonts w:hint="eastAsia"/>
          <w:color w:val="000000" w:themeColor="text1"/>
          <w:position w:val="-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12"/>
          <w14:textFill>
            <w14:solidFill>
              <w14:schemeClr w14:val="tx1"/>
            </w14:solidFill>
          </w14:textFill>
        </w:rPr>
        <w:t>万元；对社会保险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基金补助</w:t>
      </w:r>
      <w:r>
        <w:rPr>
          <w:rFonts w:hint="eastAsia"/>
          <w:color w:val="000000" w:themeColor="text1"/>
          <w:spacing w:val="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万元；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其他支出</w:t>
      </w:r>
      <w:r>
        <w:rPr>
          <w:rFonts w:hint="eastAsia"/>
          <w:color w:val="000000" w:themeColor="text1"/>
          <w:spacing w:val="-151"/>
          <w:lang w:val="en-US" w:eastAsia="zh-CN"/>
          <w14:textFill>
            <w14:solidFill>
              <w14:schemeClr w14:val="tx1"/>
            </w14:solidFill>
          </w14:textFill>
        </w:rPr>
        <w:t xml:space="preserve">0                             </w:t>
      </w:r>
      <w:r>
        <w:rPr>
          <w:color w:val="000000" w:themeColor="text1"/>
          <w:spacing w:val="-124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3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3"/>
          <w14:textFill>
            <w14:solidFill>
              <w14:schemeClr w14:val="tx1"/>
            </w14:solidFill>
          </w14:textFill>
        </w:rPr>
        <w:t>万</w:t>
      </w:r>
      <w:r>
        <w:rPr>
          <w:rFonts w:hint="eastAsia"/>
          <w:color w:val="000000" w:themeColor="text1"/>
          <w:spacing w:val="3"/>
          <w:lang w:eastAsia="zh-CN"/>
          <w14:textFill>
            <w14:solidFill>
              <w14:schemeClr w14:val="tx1"/>
            </w14:solidFill>
          </w14:textFill>
        </w:rPr>
        <w:t>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1"/>
          <w14:textFill>
            <w14:solidFill>
              <w14:schemeClr w14:val="tx1"/>
            </w14:solidFill>
          </w14:textFill>
        </w:rPr>
        <w:t>(三)财政拨款支出情况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64" w:firstLineChars="200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2024年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单位财政拨款支出预算总额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2988.77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370.45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，增长10.65%，主要原因是人员奖金增加。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60" w:firstLineChars="200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按支出功能科目划分：</w:t>
      </w:r>
      <w:r>
        <w:rPr>
          <w:color w:val="000000" w:themeColor="text1"/>
          <w:spacing w:val="34"/>
          <w14:textFill>
            <w14:solidFill>
              <w14:schemeClr w14:val="tx1"/>
            </w14:solidFill>
          </w14:textFill>
        </w:rPr>
        <w:t>教育支出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2988.77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万元,较上年预算安排增加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370.45</w:t>
      </w:r>
      <w:r>
        <w:rPr>
          <w:rFonts w:hint="eastAsia"/>
          <w:color w:val="000000" w:themeColor="text1"/>
          <w:spacing w:val="11"/>
          <w:lang w:val="en-US" w:eastAsia="en-US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，增长10.65%，主要原因是人员奖金增加。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4" w:firstLineChars="200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按支出项目类别划分：基本支出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2988.77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万元,较上年预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算安排增加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370.45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主要原因是人员奖金增加。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其中：工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2942.94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万元,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商品和服务支出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41.82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万元,对个人和家庭的补助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4.01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万元，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资本性支出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元。项目支出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,较上年预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算安排</w:t>
      </w:r>
      <w:r>
        <w:rPr>
          <w:rFonts w:hint="eastAsia"/>
          <w:color w:val="000000" w:themeColor="text1"/>
          <w:spacing w:val="5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;其中：工资福利支出</w:t>
      </w:r>
      <w:r>
        <w:rPr>
          <w:rFonts w:hint="eastAsia"/>
          <w:color w:val="000000" w:themeColor="text1"/>
          <w:spacing w:val="5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,商品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和服务支出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元,对个人和家庭的补助</w:t>
      </w:r>
      <w:r>
        <w:rPr>
          <w:rFonts w:hint="eastAsia"/>
          <w:color w:val="000000" w:themeColor="text1"/>
          <w:spacing w:val="15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color w:val="000000" w:themeColor="text1"/>
          <w:spacing w:val="15"/>
          <w14:textFill>
            <w14:solidFill>
              <w14:schemeClr w14:val="tx1"/>
            </w14:solidFill>
          </w14:textFill>
        </w:rPr>
        <w:t>,债务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利息及费用支出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，资本性支出（基本建设）</w:t>
      </w:r>
      <w:r>
        <w:rPr>
          <w:rFonts w:hint="eastAsia"/>
          <w:color w:val="000000" w:themeColor="text1"/>
          <w:spacing w:val="6"/>
          <w:lang w:val="en-US" w:eastAsia="zh-CN"/>
          <w14:textFill>
            <w14:solidFill>
              <w14:schemeClr w14:val="tx1"/>
            </w14:solidFill>
          </w14:textFill>
        </w:rPr>
        <w:t>0万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元,资本性支出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对企业补助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其</w:t>
      </w:r>
      <w:r>
        <w:rPr>
          <w:color w:val="000000" w:themeColor="text1"/>
          <w:spacing w:val="10"/>
          <w14:textFill>
            <w14:solidFill>
              <w14:schemeClr w14:val="tx1"/>
            </w14:solidFill>
          </w14:textFill>
        </w:rPr>
        <w:t>他支出</w:t>
      </w:r>
      <w:r>
        <w:rPr>
          <w:rFonts w:hint="eastAsia"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4"/>
          <w14:textFill>
            <w14:solidFill>
              <w14:schemeClr w14:val="tx1"/>
            </w14:solidFill>
          </w14:textFill>
        </w:rPr>
        <w:t>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2"/>
          <w14:textFill>
            <w14:solidFill>
              <w14:schemeClr w14:val="tx1"/>
            </w14:solidFill>
          </w14:textFill>
        </w:rPr>
        <w:t>政府性基金情况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本单位没有使用政府性基金预算拨款安排的支出。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1"/>
          <w14:textFill>
            <w14:solidFill>
              <w14:schemeClr w14:val="tx1"/>
            </w14:solidFill>
          </w14:textFill>
        </w:rPr>
        <w:t>(五)国有资本经营情况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本单位没有使用国有资本经营预算拨款安排的支出。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2"/>
          <w14:textFill>
            <w14:solidFill>
              <w14:schemeClr w14:val="tx1"/>
            </w14:solidFill>
          </w14:textFill>
        </w:rPr>
        <w:t>(六)机关运行经费等重要事项的说明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本单位非行政</w:t>
      </w:r>
      <w:r>
        <w:rPr>
          <w:color w:val="000000" w:themeColor="text1"/>
          <w:spacing w:val="7"/>
          <w14:textFill>
            <w14:solidFill>
              <w14:schemeClr w14:val="tx1"/>
            </w14:solidFill>
          </w14:textFill>
        </w:rPr>
        <w:t>参公单位，无机关运行经费</w:t>
      </w:r>
      <w:r>
        <w:rPr>
          <w:rFonts w:hint="eastAsia"/>
          <w:color w:val="000000" w:themeColor="text1"/>
          <w:spacing w:val="7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pacing w:val="-3"/>
          <w14:textFill>
            <w14:solidFill>
              <w14:schemeClr w14:val="tx1"/>
            </w14:solidFill>
          </w14:textFill>
        </w:rPr>
        <w:t>(七)政府采购情况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年单位政府采购</w:t>
      </w:r>
      <w:r>
        <w:rPr>
          <w:rFonts w:hint="eastAsia"/>
          <w:color w:val="000000" w:themeColor="text1"/>
          <w:spacing w:val="11"/>
          <w:lang w:eastAsia="zh-CN"/>
          <w14:textFill>
            <w14:solidFill>
              <w14:schemeClr w14:val="tx1"/>
            </w14:solidFill>
          </w14:textFill>
        </w:rPr>
        <w:t>预算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总额</w:t>
      </w:r>
      <w:r>
        <w:rPr>
          <w:rFonts w:hint="eastAsia"/>
          <w:color w:val="000000" w:themeColor="text1"/>
          <w:spacing w:val="11"/>
          <w:lang w:val="en-US" w:eastAsia="zh-CN"/>
          <w14:textFill>
            <w14:solidFill>
              <w14:schemeClr w14:val="tx1"/>
            </w14:solidFill>
          </w14:textFill>
        </w:rPr>
        <w:t>26.5</w:t>
      </w:r>
      <w:r>
        <w:rPr>
          <w:color w:val="000000" w:themeColor="text1"/>
          <w:spacing w:val="11"/>
          <w14:textFill>
            <w14:solidFill>
              <w14:schemeClr w14:val="tx1"/>
            </w14:solidFill>
          </w14:textFill>
        </w:rPr>
        <w:t>万元,其中: 政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府采购货物预算</w:t>
      </w:r>
      <w:r>
        <w:rPr>
          <w:rFonts w:hint="eastAsia"/>
          <w:color w:val="000000" w:themeColor="text1"/>
          <w:spacing w:val="19"/>
          <w:lang w:val="en-US" w:eastAsia="zh-CN"/>
          <w14:textFill>
            <w14:solidFill>
              <w14:schemeClr w14:val="tx1"/>
            </w14:solidFill>
          </w14:textFill>
        </w:rPr>
        <w:t>26.5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万元, 政府采购工程预算</w:t>
      </w:r>
      <w:r>
        <w:rPr>
          <w:rFonts w:hint="eastAsia"/>
          <w:color w:val="000000" w:themeColor="text1"/>
          <w:spacing w:val="19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/>
          <w:color w:val="000000" w:themeColor="text1"/>
          <w:spacing w:val="19"/>
          <w:lang w:eastAsia="zh-CN"/>
          <w14:textFill>
            <w14:solidFill>
              <w14:schemeClr w14:val="tx1"/>
            </w14:solidFill>
          </w14:textFill>
        </w:rPr>
        <w:t>万</w:t>
      </w:r>
      <w:r>
        <w:rPr>
          <w:color w:val="000000" w:themeColor="text1"/>
          <w:spacing w:val="19"/>
          <w14:textFill>
            <w14:solidFill>
              <w14:schemeClr w14:val="tx1"/>
            </w14:solidFill>
          </w14:textFill>
        </w:rPr>
        <w:t>元,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政府采购服务预算</w:t>
      </w:r>
      <w:r>
        <w:rPr>
          <w:rFonts w:hint="eastAsia"/>
          <w:color w:val="000000" w:themeColor="text1"/>
          <w:spacing w:val="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(八)国有资产占有使用情况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截至</w:t>
      </w:r>
      <w:r>
        <w:rPr>
          <w:rFonts w:hint="eastAsia"/>
          <w:color w:val="000000" w:themeColor="text1"/>
          <w:spacing w:val="-1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年7</w:t>
      </w:r>
      <w:r>
        <w:rPr>
          <w:color w:val="000000" w:themeColor="text1"/>
          <w:spacing w:val="-4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pacing w:val="-36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31 日（各级财政编制部门预算基</w:t>
      </w: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础信息上报截止时间）, 单位共有车辆</w:t>
      </w:r>
      <w:r>
        <w:rPr>
          <w:rFonts w:hint="eastAsia"/>
          <w:color w:val="000000" w:themeColor="text1"/>
          <w:spacing w:val="13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4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3"/>
          <w14:textFill>
            <w14:solidFill>
              <w14:schemeClr w14:val="tx1"/>
            </w14:solidFill>
          </w14:textFill>
        </w:rPr>
        <w:t>辆,其中：一般</w:t>
      </w:r>
      <w:r>
        <w:rPr>
          <w:color w:val="000000" w:themeColor="text1"/>
          <w:spacing w:val="6"/>
          <w14:textFill>
            <w14:solidFill>
              <w14:schemeClr w14:val="tx1"/>
            </w14:solidFill>
          </w14:textFill>
        </w:rPr>
        <w:t>公务用车实有</w:t>
      </w:r>
      <w:bookmarkEnd w:id="0"/>
      <w:r>
        <w:rPr>
          <w:spacing w:val="6"/>
        </w:rPr>
        <w:t>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rFonts w:hint="eastAsia"/>
          <w:b/>
          <w:bCs/>
          <w:spacing w:val="5"/>
          <w:lang w:val="en-US" w:eastAsia="zh-CN"/>
        </w:rPr>
      </w:pPr>
      <w:r>
        <w:rPr>
          <w:b/>
          <w:bCs/>
          <w:spacing w:val="5"/>
        </w:rPr>
        <w:t>（九）项目情况说明</w:t>
      </w:r>
      <w:r>
        <w:rPr>
          <w:rFonts w:hint="eastAsia"/>
          <w:b/>
          <w:bCs/>
          <w:spacing w:val="5"/>
          <w:lang w:val="en-US" w:eastAsia="zh-CN"/>
        </w:rPr>
        <w:t xml:space="preserve">      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600" w:lineRule="atLeast"/>
        <w:ind w:firstLine="560"/>
        <w:rPr>
          <w:rFonts w:hint="eastAsia"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本单位本年度未安排项目。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1.8</w:t>
      </w:r>
      <w:r>
        <w:rPr>
          <w:spacing w:val="2"/>
        </w:rPr>
        <w:t>万元，其中：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1.8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0.2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eastAsia="zh-CN"/>
        </w:rPr>
        <w:t>区</w:t>
      </w:r>
      <w:r>
        <w:rPr>
          <w:spacing w:val="5"/>
        </w:rPr>
        <w:t>级财政当年拨付的资金。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5715000" cy="590804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15000" cy="5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8569325" cy="1778000"/>
            <wp:effectExtent l="0" t="0" r="508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6932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540115" cy="2646045"/>
            <wp:effectExtent l="0" t="0" r="571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4011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6224270" cy="5937250"/>
            <wp:effectExtent l="0" t="0" r="635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2427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8388985" cy="2599690"/>
            <wp:effectExtent l="0" t="0" r="635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88985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6703060" cy="5764530"/>
            <wp:effectExtent l="0" t="0" r="1143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03060" cy="57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8630285" cy="1210945"/>
            <wp:effectExtent l="0" t="0" r="8255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3028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819515" cy="1700530"/>
            <wp:effectExtent l="0" t="0" r="635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951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545195" cy="1548765"/>
            <wp:effectExtent l="0" t="0" r="5715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4519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ZWE1ZDQ0YTY3Y2RhNTc2ZGI3ZmEyYmM0ZWE3OTMifQ=="/>
  </w:docVars>
  <w:rsids>
    <w:rsidRoot w:val="28C32CA0"/>
    <w:rsid w:val="10844FD5"/>
    <w:rsid w:val="11A726C0"/>
    <w:rsid w:val="1DAE4226"/>
    <w:rsid w:val="28C32CA0"/>
    <w:rsid w:val="34B34DA9"/>
    <w:rsid w:val="44193EC3"/>
    <w:rsid w:val="45A6115A"/>
    <w:rsid w:val="474600B4"/>
    <w:rsid w:val="59E0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2024-02-27T08:17:23Z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335616A139F4470892EFB3FAF5811701_13</vt:lpwstr>
  </property>
</Properties>
</file>