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南昌市新建区铁河中心小学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36"/>
          <w:szCs w:val="36"/>
        </w:rPr>
        <w:t>年单位预算</w:t>
      </w:r>
    </w:p>
    <w:p>
      <w:pPr>
        <w:spacing w:line="340" w:lineRule="auto"/>
        <w:rPr>
          <w:rFonts w:ascii="Arial"/>
          <w:color w:val="auto"/>
          <w:sz w:val="36"/>
          <w:szCs w:val="36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3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tabs>
          <w:tab w:val="left" w:pos="2383"/>
        </w:tabs>
        <w:bidi w:val="0"/>
        <w:jc w:val="left"/>
        <w:rPr>
          <w:rFonts w:hint="eastAsia" w:eastAsia="宋体"/>
          <w:color w:val="auto"/>
          <w:lang w:val="en-US"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南昌市新建区铁河中心小学单位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/>
          <w:color w:val="auto"/>
          <w:kern w:val="1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南昌市新建区铁河中心小学，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实施义务教育，促进基础教育发展。全面贯彻执行国家的教育方针、政策及国家相关的法律法规；实施素质教育，按照规定标准完成教育教学任务，保证教育教学质量；加强安全和后勤服务工作，为教育教学提供保障。</w:t>
      </w:r>
    </w:p>
    <w:p>
      <w:pPr>
        <w:spacing w:line="560" w:lineRule="exact"/>
        <w:ind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南昌市新建区铁河中心小学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68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68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人。实有人数小计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116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68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68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46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南昌市新建区铁河中心小学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171" w:line="226" w:lineRule="auto"/>
        <w:ind w:left="680"/>
        <w:rPr>
          <w:color w:val="auto"/>
          <w:spacing w:val="3"/>
        </w:rPr>
      </w:pPr>
      <w:r>
        <w:rPr>
          <w:color w:val="auto"/>
          <w:spacing w:val="3"/>
        </w:rPr>
        <w:t>（详见附表）</w:t>
      </w: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b/>
          <w:bCs/>
          <w:color w:val="auto"/>
          <w:spacing w:val="5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南昌市新建区铁河中心小学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3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1795.18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增加203.05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增长12.75%,主要原因是人员经费增加。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1483.51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210.95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7.9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减少35.52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减少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303.77万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增加27.62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学校课后服务、其他单位拨款减少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1795.18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增加203.05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，增长12.75%,主要原因是人员经费增加。；</w:t>
      </w:r>
      <w:r>
        <w:rPr>
          <w:color w:val="auto"/>
          <w:spacing w:val="5"/>
        </w:rPr>
        <w:t>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rFonts w:hint="eastAsia"/>
          <w:color w:val="auto"/>
          <w:spacing w:val="11"/>
          <w:lang w:val="en-US" w:eastAsia="zh-CN"/>
        </w:rPr>
      </w:pPr>
      <w:r>
        <w:rPr>
          <w:rFonts w:hint="eastAsia"/>
          <w:color w:val="auto"/>
          <w:spacing w:val="11"/>
          <w:lang w:val="en-US" w:eastAsia="zh-CN"/>
        </w:rPr>
        <w:t>按支出项目类别划分：基本支出1795.18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增加203.05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，主要原因是人员经费支出增加;其中：工资福利支出1455.72万元, 商品和服务支出267.01万元,对个人和家庭的补助2.45万元, 资本性支出70万元。项目支出0万元,较上年预算安排增加0万元;其中：工资福利支出0万元,商品和服务支出0万元,对个人和家庭的补助0万元,债务利息及费用支出0万元，资本性支出（基本建设）0万元,资本性支出0万元，对企业补助0万元，其他支出0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rFonts w:hint="eastAsia"/>
          <w:color w:val="auto"/>
          <w:spacing w:val="11"/>
          <w:lang w:val="en-US" w:eastAsia="zh-CN"/>
        </w:rPr>
        <w:t>1795.18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增加203.05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，增长12.75%,主要原因是人员经费增加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72" w:firstLineChars="200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1455.72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221.34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267.01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val="en-US" w:eastAsia="zh-CN"/>
        </w:rPr>
        <w:t>增加75.47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2.45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val="en-US" w:eastAsia="zh-CN"/>
        </w:rPr>
        <w:t>减少28.86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主要原因是学校生活补助减少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rFonts w:hint="eastAsia"/>
          <w:color w:val="auto"/>
          <w:spacing w:val="-6"/>
          <w:lang w:val="en-US" w:eastAsia="zh-CN"/>
        </w:rPr>
        <w:t>0万</w:t>
      </w:r>
      <w:r>
        <w:rPr>
          <w:color w:val="auto"/>
          <w:spacing w:val="-6"/>
        </w:rPr>
        <w:t>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70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val="en-US" w:eastAsia="zh-CN"/>
        </w:rPr>
        <w:t>减少64.9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主要原因是学校政府采购减少</w:t>
      </w:r>
      <w:bookmarkStart w:id="0" w:name="_GoBack"/>
      <w:bookmarkEnd w:id="0"/>
      <w:r>
        <w:rPr>
          <w:color w:val="auto"/>
          <w:spacing w:val="6"/>
        </w:rPr>
        <w:t>；对企业补助（基本建设</w:t>
      </w:r>
      <w:r>
        <w:rPr>
          <w:rFonts w:hint="eastAsia"/>
          <w:color w:val="auto"/>
          <w:spacing w:val="6"/>
          <w:lang w:eastAsia="zh-CN"/>
        </w:rPr>
        <w:t>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20"/>
        </w:rPr>
        <w:t>元,较上年预算安排</w:t>
      </w:r>
      <w:r>
        <w:rPr>
          <w:rFonts w:hint="eastAsia"/>
          <w:color w:val="auto"/>
          <w:spacing w:val="20"/>
          <w:lang w:eastAsia="zh-CN"/>
        </w:rPr>
        <w:t>减少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3"/>
          <w:lang w:val="en-US" w:eastAsia="zh-CN"/>
        </w:rPr>
        <w:t>0万</w:t>
      </w:r>
      <w:r>
        <w:rPr>
          <w:color w:val="auto"/>
          <w:spacing w:val="3"/>
        </w:rPr>
        <w:t>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1483.51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210.95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16.58%，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1483.51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210.95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16.58%，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1483.51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210.95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1455.72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25.34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2.45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。项目支出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元;其中：工资福利支出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元,对个人和家庭的补助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6"/>
        </w:rPr>
        <w:t>元，资本性支出（基本建设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color w:val="auto"/>
          <w:spacing w:val="11"/>
        </w:rPr>
        <w:t>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val="en-US"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20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20</w:t>
      </w:r>
      <w:r>
        <w:rPr>
          <w:color w:val="auto"/>
          <w:spacing w:val="19"/>
        </w:rPr>
        <w:t>万元,政府采购工程预算</w:t>
      </w:r>
      <w:r>
        <w:rPr>
          <w:rFonts w:hint="eastAsia"/>
          <w:color w:val="auto"/>
          <w:spacing w:val="19"/>
          <w:lang w:val="en-US" w:eastAsia="zh-CN"/>
        </w:rPr>
        <w:t>0万</w:t>
      </w:r>
      <w:r>
        <w:rPr>
          <w:color w:val="auto"/>
          <w:spacing w:val="19"/>
        </w:rPr>
        <w:t>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auto"/>
          <w:sz w:val="21"/>
        </w:rPr>
      </w:pPr>
      <w:r>
        <w:rPr>
          <w:b w:val="0"/>
          <w:bCs w:val="0"/>
          <w:color w:val="auto"/>
          <w:spacing w:val="6"/>
          <w:position w:val="20"/>
        </w:rPr>
        <w:t>本单位本年度</w:t>
      </w:r>
      <w:r>
        <w:rPr>
          <w:b w:val="0"/>
          <w:bCs w:val="0"/>
          <w:color w:val="auto"/>
          <w:spacing w:val="5"/>
          <w:position w:val="20"/>
        </w:rPr>
        <w:t>未安排</w:t>
      </w:r>
      <w:r>
        <w:rPr>
          <w:rFonts w:hint="eastAsia"/>
          <w:b w:val="0"/>
          <w:bCs w:val="0"/>
          <w:color w:val="auto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1.8</w:t>
      </w:r>
      <w:r>
        <w:rPr>
          <w:color w:val="auto"/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1.8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0.2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auto"/>
        </w:rPr>
      </w:pPr>
      <w:r>
        <w:rPr>
          <w:color w:val="auto"/>
          <w:spacing w:val="9"/>
        </w:rPr>
        <w:t>（九）上年结转和结余：填列上年</w:t>
      </w:r>
      <w:r>
        <w:rPr>
          <w:color w:val="auto"/>
          <w:spacing w:val="8"/>
        </w:rPr>
        <w:t>全部结转和结余的资金数，包括当年结转结余资金和历年滚存结转结余</w:t>
      </w:r>
      <w:r>
        <w:rPr>
          <w:color w:val="auto"/>
          <w:spacing w:val="-3"/>
        </w:rPr>
        <w:t>资</w:t>
      </w:r>
      <w:r>
        <w:rPr>
          <w:rFonts w:hint="eastAsia"/>
          <w:color w:val="auto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auto"/>
        </w:rPr>
      </w:pPr>
      <w:r>
        <w:rPr>
          <w:color w:val="auto"/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auto"/>
          <w:sz w:val="21"/>
        </w:rPr>
      </w:pPr>
      <w:r>
        <w:rPr>
          <w:color w:val="auto"/>
          <w:spacing w:val="8"/>
        </w:rPr>
        <w:t>对部门预算中涉及的支出功能分类科目（明细到项级</w:t>
      </w:r>
      <w:r>
        <w:rPr>
          <w:rFonts w:hint="eastAsia"/>
          <w:color w:val="auto"/>
          <w:spacing w:val="8"/>
          <w:lang w:eastAsia="zh-CN"/>
        </w:rPr>
        <w:t>）</w:t>
      </w:r>
      <w:r>
        <w:rPr>
          <w:color w:val="auto"/>
          <w:spacing w:val="-80"/>
          <w:w w:val="92"/>
        </w:rPr>
        <w:t>，</w:t>
      </w:r>
      <w:r>
        <w:rPr>
          <w:color w:val="auto"/>
          <w:spacing w:val="2"/>
        </w:rPr>
        <w:t xml:space="preserve"> </w:t>
      </w:r>
      <w:r>
        <w:rPr>
          <w:color w:val="auto"/>
          <w:spacing w:val="8"/>
        </w:rPr>
        <w:t>结合部门实际，参照《</w:t>
      </w:r>
      <w:r>
        <w:rPr>
          <w:rFonts w:hint="eastAsia"/>
          <w:color w:val="auto"/>
          <w:spacing w:val="8"/>
          <w:lang w:val="en-US" w:eastAsia="zh-CN"/>
        </w:rPr>
        <w:t>2024</w:t>
      </w:r>
      <w:r>
        <w:rPr>
          <w:color w:val="auto"/>
          <w:spacing w:val="8"/>
        </w:rPr>
        <w:t>年政府收支分类科目》的规范说明</w:t>
      </w:r>
      <w:r>
        <w:rPr>
          <w:color w:val="auto"/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auto"/>
        </w:rPr>
      </w:pPr>
      <w:r>
        <w:rPr>
          <w:color w:val="auto"/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79"/>
        </w:rPr>
        <w:t xml:space="preserve"> </w:t>
      </w:r>
      <w:r>
        <w:rPr>
          <w:color w:val="auto"/>
          <w:spacing w:val="6"/>
        </w:rPr>
        <w:t>一）机关运行费：指用财政拨款安排的为保障行政单</w:t>
      </w:r>
      <w:r>
        <w:rPr>
          <w:color w:val="auto"/>
        </w:rPr>
        <w:t xml:space="preserve"> </w:t>
      </w:r>
      <w:r>
        <w:rPr>
          <w:color w:val="auto"/>
          <w:spacing w:val="9"/>
        </w:rPr>
        <w:t>位（含参照公务员法管理的事业单位）运行用于购买货物和</w:t>
      </w:r>
      <w:r>
        <w:rPr>
          <w:color w:val="auto"/>
          <w:spacing w:val="3"/>
        </w:rPr>
        <w:t xml:space="preserve"> </w:t>
      </w:r>
      <w:r>
        <w:rPr>
          <w:color w:val="auto"/>
          <w:spacing w:val="8"/>
        </w:rPr>
        <w:t>服务的各项资金，包括办公费、</w:t>
      </w:r>
      <w:r>
        <w:rPr>
          <w:color w:val="auto"/>
          <w:spacing w:val="-84"/>
        </w:rPr>
        <w:t xml:space="preserve"> </w:t>
      </w:r>
      <w:r>
        <w:rPr>
          <w:color w:val="auto"/>
          <w:spacing w:val="8"/>
        </w:rPr>
        <w:t>印刷费、邮电费、差旅费、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会议费、福利费、日常维修费、专用材料及一般设备</w:t>
      </w:r>
      <w:r>
        <w:rPr>
          <w:color w:val="auto"/>
        </w:rPr>
        <w:t xml:space="preserve">购置费、 </w:t>
      </w:r>
      <w:r>
        <w:rPr>
          <w:color w:val="auto"/>
          <w:spacing w:val="9"/>
        </w:rPr>
        <w:t>办公用房水电费、办公用房取暖费、办公用房物业管理费、</w:t>
      </w:r>
      <w:r>
        <w:rPr>
          <w:color w:val="auto"/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  <w:r>
        <w:rPr>
          <w:color w:val="auto"/>
          <w:spacing w:val="-13"/>
        </w:rPr>
        <w:t>（</w:t>
      </w:r>
      <w:r>
        <w:rPr>
          <w:color w:val="auto"/>
          <w:spacing w:val="-64"/>
        </w:rPr>
        <w:t xml:space="preserve"> </w:t>
      </w:r>
      <w:r>
        <w:rPr>
          <w:color w:val="auto"/>
          <w:spacing w:val="-13"/>
        </w:rPr>
        <w:t>二）“三公”经费：指用财政拨款安排的因公出国（境）</w:t>
      </w:r>
      <w:r>
        <w:rPr>
          <w:color w:val="auto"/>
        </w:rPr>
        <w:t xml:space="preserve"> </w:t>
      </w:r>
      <w:r>
        <w:rPr>
          <w:color w:val="auto"/>
          <w:spacing w:val="8"/>
        </w:rPr>
        <w:t>费、公务用车购置及运行维护费和公务接待费。其中，因公</w:t>
      </w:r>
      <w:r>
        <w:rPr>
          <w:color w:val="auto"/>
          <w:spacing w:val="4"/>
        </w:rPr>
        <w:t xml:space="preserve">  </w:t>
      </w:r>
      <w:r>
        <w:rPr>
          <w:color w:val="auto"/>
          <w:spacing w:val="8"/>
        </w:rPr>
        <w:t>出国（境）费反映单位公务出国（境）的国际旅费、国外城</w:t>
      </w:r>
      <w:r>
        <w:rPr>
          <w:color w:val="auto"/>
          <w:spacing w:val="5"/>
        </w:rPr>
        <w:t xml:space="preserve">  </w:t>
      </w:r>
      <w:r>
        <w:rPr>
          <w:color w:val="auto"/>
          <w:spacing w:val="8"/>
        </w:rPr>
        <w:t>市间交通费、住宿费、伙食费、培训费、公杂费等支出；公</w:t>
      </w:r>
      <w:r>
        <w:rPr>
          <w:color w:val="auto"/>
          <w:spacing w:val="9"/>
        </w:rPr>
        <w:t>务用车购置及运行维护费反映单位公务用车车辆购置支出</w:t>
      </w:r>
      <w:r>
        <w:rPr>
          <w:color w:val="auto"/>
          <w:spacing w:val="8"/>
        </w:rPr>
        <w:t>（含车辆购置税、牌照费</w:t>
      </w:r>
      <w:r>
        <w:rPr>
          <w:color w:val="auto"/>
          <w:spacing w:val="-61"/>
        </w:rPr>
        <w:t>），</w:t>
      </w:r>
      <w:r>
        <w:rPr>
          <w:color w:val="auto"/>
          <w:spacing w:val="8"/>
        </w:rPr>
        <w:t>按规定保留的公务用车燃料费、</w:t>
      </w:r>
      <w:r>
        <w:rPr>
          <w:color w:val="auto"/>
          <w:spacing w:val="9"/>
        </w:rPr>
        <w:t>维修费、过桥过路费、保险费、安全奖励费用等支出；公</w:t>
      </w:r>
      <w:r>
        <w:rPr>
          <w:rFonts w:hint="eastAsia"/>
          <w:color w:val="auto"/>
          <w:spacing w:val="9"/>
          <w:lang w:eastAsia="zh-CN"/>
        </w:rPr>
        <w:t>务接待费反映单位按规定开支的各类公务接待（含外宾接待）支出。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293100" cy="5612765"/>
            <wp:effectExtent l="0" t="0" r="698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3100" cy="5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rFonts w:hint="eastAsia" w:eastAsia="宋体"/>
          <w:color w:val="auto"/>
          <w:lang w:eastAsia="zh-CN"/>
        </w:rPr>
      </w:pPr>
      <w:r>
        <w:rPr>
          <w:color w:val="auto"/>
        </w:rPr>
        <w:drawing>
          <wp:inline distT="0" distB="0" distL="114300" distR="114300">
            <wp:extent cx="8580120" cy="2948305"/>
            <wp:effectExtent l="0" t="0" r="444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8012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08085" cy="2587625"/>
            <wp:effectExtent l="0" t="0" r="317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808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15375" cy="5613400"/>
            <wp:effectExtent l="0" t="0" r="635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5375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69020" cy="2548890"/>
            <wp:effectExtent l="0" t="0" r="3810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902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93785" cy="5000625"/>
            <wp:effectExtent l="0" t="0" r="952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378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56015" cy="1645920"/>
            <wp:effectExtent l="0" t="0" r="1143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60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533765" cy="1974215"/>
            <wp:effectExtent l="0" t="0" r="698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3376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500745" cy="2172335"/>
            <wp:effectExtent l="0" t="0" r="18415" b="146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0074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ZkZjVkODM2NGY5MGUwMGNkYmJmYjFiMDgxZjkifQ=="/>
  </w:docVars>
  <w:rsids>
    <w:rsidRoot w:val="28C32CA0"/>
    <w:rsid w:val="00706624"/>
    <w:rsid w:val="021D103F"/>
    <w:rsid w:val="06E20AB0"/>
    <w:rsid w:val="08047FD9"/>
    <w:rsid w:val="0DD9425B"/>
    <w:rsid w:val="110747DF"/>
    <w:rsid w:val="112534F5"/>
    <w:rsid w:val="1C372BF6"/>
    <w:rsid w:val="1C695AD2"/>
    <w:rsid w:val="226E0840"/>
    <w:rsid w:val="26CC4B29"/>
    <w:rsid w:val="28C32CA0"/>
    <w:rsid w:val="28CB4F5D"/>
    <w:rsid w:val="31FF2D24"/>
    <w:rsid w:val="37B70D40"/>
    <w:rsid w:val="37CD3F0D"/>
    <w:rsid w:val="39887571"/>
    <w:rsid w:val="39E725D6"/>
    <w:rsid w:val="43620EF1"/>
    <w:rsid w:val="456A3DB0"/>
    <w:rsid w:val="4A163159"/>
    <w:rsid w:val="51BD0B73"/>
    <w:rsid w:val="5B463751"/>
    <w:rsid w:val="5EFE3FD1"/>
    <w:rsid w:val="5F6C15F8"/>
    <w:rsid w:val="65BF2EF7"/>
    <w:rsid w:val="67F16B24"/>
    <w:rsid w:val="6AD0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3067</Words>
  <Characters>3331</Characters>
  <Lines>0</Lines>
  <Paragraphs>0</Paragraphs>
  <TotalTime>6</TotalTime>
  <ScaleCrop>false</ScaleCrop>
  <LinksUpToDate>false</LinksUpToDate>
  <CharactersWithSpaces>3469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2024-02-27T06:46:42Z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058BC9DC8DAD4519996373F58D80690B_11</vt:lpwstr>
  </property>
</Properties>
</file>