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b/>
          <w:bCs/>
          <w:spacing w:val="4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石埠初级中学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</w:t>
      </w:r>
    </w:p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3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3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石埠初级中学单位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石埠初级中学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实施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初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中教育，为学生的终身发展奠定基础。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石埠初级中学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68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68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88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68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68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15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5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石埠初级中学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rPr>
          <w:b/>
          <w:bCs/>
          <w:spacing w:val="5"/>
        </w:rPr>
      </w:pPr>
    </w:p>
    <w:p>
      <w:pPr>
        <w:pStyle w:val="3"/>
        <w:spacing w:before="101" w:line="221" w:lineRule="auto"/>
        <w:jc w:val="center"/>
        <w:rPr>
          <w:b/>
          <w:bCs/>
          <w:spacing w:val="5"/>
        </w:rPr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石埠初级中学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</w:t>
      </w:r>
      <w:r>
        <w:rPr>
          <w:b/>
          <w:bCs/>
          <w:spacing w:val="5"/>
        </w:rPr>
        <w:t>单位</w:t>
      </w:r>
    </w:p>
    <w:p>
      <w:pPr>
        <w:pStyle w:val="3"/>
        <w:spacing w:before="101" w:line="221" w:lineRule="auto"/>
        <w:jc w:val="center"/>
      </w:pPr>
      <w:r>
        <w:rPr>
          <w:b/>
          <w:bCs/>
          <w:spacing w:val="5"/>
        </w:rPr>
        <w:t>预算情况说明</w:t>
      </w:r>
    </w:p>
    <w:p>
      <w:pPr>
        <w:spacing w:line="341" w:lineRule="auto"/>
        <w:jc w:val="center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  <w:r>
        <w:rPr>
          <w:rFonts w:ascii="楷体" w:hAnsi="楷体" w:eastAsia="楷体" w:cs="楷体"/>
          <w:b/>
          <w:bCs/>
          <w:spacing w:val="6"/>
        </w:rPr>
        <w:t>一、</w:t>
      </w:r>
      <w:r>
        <w:rPr>
          <w:rFonts w:hint="eastAsia" w:eastAsia="楷体"/>
          <w:b/>
          <w:bCs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</w:p>
    <w:p>
      <w:pPr>
        <w:pStyle w:val="3"/>
        <w:spacing w:before="101" w:line="222" w:lineRule="auto"/>
        <w:ind w:left="734"/>
      </w:pPr>
      <w:r>
        <w:rPr>
          <w:b/>
          <w:bCs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spacing w:val="11"/>
          <w:lang w:val="en-US" w:eastAsia="zh-CN"/>
        </w:rPr>
        <w:t>2024</w:t>
      </w:r>
      <w:r>
        <w:rPr>
          <w:rFonts w:hint="eastAsia"/>
          <w:spacing w:val="11"/>
          <w:lang w:val="en-US" w:eastAsia="en-US"/>
        </w:rPr>
        <w:t>年收入预算总额为</w:t>
      </w:r>
      <w:r>
        <w:rPr>
          <w:rFonts w:hint="eastAsia"/>
          <w:spacing w:val="11"/>
          <w:lang w:val="en-US" w:eastAsia="zh-CN"/>
        </w:rPr>
        <w:t>1549.83</w:t>
      </w:r>
      <w:r>
        <w:rPr>
          <w:rFonts w:hint="eastAsia"/>
          <w:spacing w:val="11"/>
          <w:lang w:val="en-US" w:eastAsia="en-US"/>
        </w:rPr>
        <w:t>万元,较上年预算安排 增加</w:t>
      </w:r>
      <w:r>
        <w:rPr>
          <w:rFonts w:hint="eastAsia"/>
          <w:spacing w:val="11"/>
          <w:lang w:val="en-US" w:eastAsia="zh-CN"/>
        </w:rPr>
        <w:t>210.02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en-US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增长15.68%,主要原因是人员经费增加；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1363.93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177.12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50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学校收费增加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135.9万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增加30.9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</w:t>
      </w:r>
      <w:r>
        <w:rPr>
          <w:rFonts w:hint="eastAsia"/>
          <w:color w:val="auto"/>
          <w:spacing w:val="11"/>
          <w:lang w:val="en-US" w:eastAsia="zh-CN"/>
        </w:rPr>
        <w:t>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年支出预算总额为</w:t>
      </w:r>
      <w:r>
        <w:rPr>
          <w:rFonts w:hint="eastAsia"/>
          <w:spacing w:val="11"/>
          <w:lang w:val="en-US" w:eastAsia="zh-CN"/>
        </w:rPr>
        <w:t>1549.83</w:t>
      </w:r>
      <w:r>
        <w:rPr>
          <w:rFonts w:hint="eastAsia"/>
          <w:spacing w:val="11"/>
          <w:lang w:val="en-US" w:eastAsia="en-US"/>
        </w:rPr>
        <w:t>万元,较上年预算安排 增加</w:t>
      </w:r>
      <w:r>
        <w:rPr>
          <w:rFonts w:hint="eastAsia"/>
          <w:spacing w:val="11"/>
          <w:lang w:val="en-US" w:eastAsia="zh-CN"/>
        </w:rPr>
        <w:t>210.02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en-US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增长15.68%,主要原因是人员经费增加</w:t>
      </w:r>
      <w:r>
        <w:rPr>
          <w:spacing w:val="5"/>
        </w:rPr>
        <w:t>;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spacing w:val="6"/>
        </w:rPr>
        <w:t>按支出项目类别划分： 基本支出</w:t>
      </w:r>
      <w:r>
        <w:rPr>
          <w:rFonts w:hint="eastAsia"/>
          <w:spacing w:val="11"/>
          <w:lang w:val="en-US" w:eastAsia="zh-CN"/>
        </w:rPr>
        <w:t>1549.83</w:t>
      </w:r>
      <w:r>
        <w:rPr>
          <w:rFonts w:hint="eastAsia"/>
          <w:spacing w:val="11"/>
          <w:lang w:val="en-US" w:eastAsia="en-US"/>
        </w:rPr>
        <w:t>万元,较上年预算安排增加</w:t>
      </w:r>
      <w:r>
        <w:rPr>
          <w:rFonts w:hint="eastAsia"/>
          <w:spacing w:val="11"/>
          <w:lang w:val="en-US" w:eastAsia="zh-CN"/>
        </w:rPr>
        <w:t>210.02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1343.76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180.46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5.61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20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0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-107"/>
        </w:rPr>
        <w:t xml:space="preserve">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1549.83</w:t>
      </w:r>
      <w:r>
        <w:rPr>
          <w:color w:val="auto"/>
          <w:spacing w:val="5"/>
        </w:rPr>
        <w:t>万</w:t>
      </w:r>
      <w:r>
        <w:rPr>
          <w:color w:val="auto"/>
          <w:spacing w:val="17"/>
        </w:rPr>
        <w:t>元,较上年预算安排增加</w:t>
      </w:r>
      <w:r>
        <w:rPr>
          <w:rFonts w:hint="eastAsia"/>
          <w:color w:val="auto"/>
          <w:spacing w:val="11"/>
          <w:lang w:val="en-US" w:eastAsia="zh-CN"/>
        </w:rPr>
        <w:t>210.02</w:t>
      </w:r>
      <w:r>
        <w:rPr>
          <w:color w:val="auto"/>
          <w:spacing w:val="17"/>
        </w:rPr>
        <w:t>万元</w:t>
      </w:r>
      <w:r>
        <w:rPr>
          <w:rFonts w:hint="eastAsia"/>
          <w:color w:val="auto"/>
          <w:spacing w:val="11"/>
          <w:lang w:val="en-US" w:eastAsia="en-US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增长15.68%,主要原因是人员经费增加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1343.76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120.01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sz w:val="32"/>
          <w:szCs w:val="32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180.46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较上年预算安排增加</w:t>
      </w:r>
      <w:r>
        <w:rPr>
          <w:rFonts w:hint="eastAsia"/>
          <w:color w:val="auto"/>
          <w:spacing w:val="12"/>
          <w:lang w:val="en-US" w:eastAsia="zh-CN"/>
        </w:rPr>
        <w:t>79.68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5.61</w:t>
      </w:r>
      <w:r>
        <w:rPr>
          <w:color w:val="auto"/>
          <w:spacing w:val="6"/>
        </w:rPr>
        <w:t>万元,较上年预算安排增加</w:t>
      </w:r>
      <w:r>
        <w:rPr>
          <w:rFonts w:hint="eastAsia"/>
          <w:color w:val="auto"/>
          <w:spacing w:val="6"/>
          <w:lang w:val="en-US" w:eastAsia="zh-CN"/>
        </w:rPr>
        <w:t>0.33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主要原因是学校生活补助增加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20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排增加</w:t>
      </w:r>
      <w:r>
        <w:rPr>
          <w:rFonts w:hint="eastAsia"/>
          <w:color w:val="auto"/>
          <w:spacing w:val="6"/>
          <w:lang w:val="en-US" w:eastAsia="zh-CN"/>
        </w:rPr>
        <w:t>10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1363.93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177.12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14.92%，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1363.93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177.12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19.54%，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1363.93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177.12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1343.76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14.56</w:t>
      </w:r>
      <w:r>
        <w:rPr>
          <w:color w:val="auto"/>
          <w:spacing w:val="11"/>
        </w:rPr>
        <w:t>万元,对个</w:t>
      </w:r>
      <w:r>
        <w:rPr>
          <w:spacing w:val="11"/>
        </w:rPr>
        <w:t>人和家庭的补助</w:t>
      </w:r>
      <w:r>
        <w:rPr>
          <w:rFonts w:hint="eastAsia"/>
          <w:spacing w:val="11"/>
          <w:lang w:val="en-US" w:eastAsia="zh-CN"/>
        </w:rPr>
        <w:t>5.61</w:t>
      </w:r>
      <w:r>
        <w:rPr>
          <w:spacing w:val="10"/>
        </w:rPr>
        <w:t>万元，</w:t>
      </w:r>
      <w:r>
        <w:t xml:space="preserve"> </w:t>
      </w:r>
      <w:r>
        <w:rPr>
          <w:spacing w:val="11"/>
        </w:rPr>
        <w:t>资本性支出</w:t>
      </w:r>
      <w:r>
        <w:rPr>
          <w:rFonts w:hint="eastAsia"/>
          <w:spacing w:val="-151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rFonts w:hint="eastAsia"/>
          <w:spacing w:val="-124"/>
          <w:lang w:val="en-US" w:eastAsia="zh-CN"/>
        </w:rPr>
        <w:t xml:space="preserve">     </w:t>
      </w:r>
      <w:r>
        <w:rPr>
          <w:spacing w:val="11"/>
        </w:rPr>
        <w:t>万元。项目支出</w:t>
      </w:r>
      <w:r>
        <w:rPr>
          <w:rFonts w:hint="eastAsia"/>
          <w:spacing w:val="-148"/>
          <w:lang w:val="en-US" w:eastAsia="zh-CN"/>
        </w:rPr>
        <w:t xml:space="preserve">0        </w:t>
      </w:r>
      <w:r>
        <w:rPr>
          <w:spacing w:val="11"/>
        </w:rPr>
        <w:t>万元,较上年预</w:t>
      </w:r>
      <w:r>
        <w:rPr>
          <w:spacing w:val="10"/>
        </w:rPr>
        <w:t>算安排</w:t>
      </w:r>
      <w:r>
        <w:rPr>
          <w:spacing w:val="5"/>
        </w:rPr>
        <w:t>增加</w:t>
      </w:r>
      <w:r>
        <w:rPr>
          <w:rFonts w:hint="eastAsia"/>
          <w:spacing w:val="-148"/>
          <w:lang w:val="en-US" w:eastAsia="zh-CN"/>
        </w:rPr>
        <w:t xml:space="preserve">0            </w:t>
      </w:r>
      <w:r>
        <w:rPr>
          <w:spacing w:val="5"/>
        </w:rPr>
        <w:t>万元;其中：工资福利支出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5"/>
        </w:rPr>
        <w:t>万元,商品</w:t>
      </w:r>
      <w:r>
        <w:rPr>
          <w:spacing w:val="15"/>
        </w:rPr>
        <w:t>和服务支出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15"/>
        </w:rPr>
        <w:t>万元,对个人和家庭的补助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15"/>
        </w:rPr>
        <w:t>万元,债务</w:t>
      </w:r>
      <w:r>
        <w:rPr>
          <w:spacing w:val="6"/>
        </w:rPr>
        <w:t>利息及费用支出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6"/>
        </w:rPr>
        <w:t>万元，资本性支出（基本建设）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t xml:space="preserve"> </w:t>
      </w:r>
      <w:r>
        <w:rPr>
          <w:spacing w:val="11"/>
        </w:rPr>
        <w:t>元,资本性支出</w:t>
      </w:r>
      <w:r>
        <w:rPr>
          <w:spacing w:val="-151"/>
        </w:rPr>
        <w:t xml:space="preserve"> 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11"/>
        </w:rPr>
        <w:t>万元</w:t>
      </w:r>
      <w:r>
        <w:rPr>
          <w:rFonts w:hint="eastAsia"/>
          <w:spacing w:val="11"/>
          <w:lang w:eastAsia="zh-CN"/>
        </w:rPr>
        <w:t>，</w:t>
      </w:r>
      <w:r>
        <w:rPr>
          <w:spacing w:val="11"/>
        </w:rPr>
        <w:t>对企业补助</w:t>
      </w:r>
      <w:r>
        <w:rPr>
          <w:rFonts w:hint="eastAsia"/>
          <w:spacing w:val="-148"/>
          <w:lang w:val="en-US" w:eastAsia="zh-CN"/>
        </w:rPr>
        <w:t xml:space="preserve">0                         </w:t>
      </w:r>
      <w:r>
        <w:rPr>
          <w:spacing w:val="11"/>
        </w:rPr>
        <w:t>万</w:t>
      </w:r>
      <w:r>
        <w:rPr>
          <w:rFonts w:hint="eastAsia"/>
          <w:spacing w:val="11"/>
          <w:lang w:eastAsia="zh-CN"/>
        </w:rPr>
        <w:t>元，</w:t>
      </w:r>
      <w:r>
        <w:rPr>
          <w:spacing w:val="11"/>
        </w:rPr>
        <w:t>其</w:t>
      </w:r>
      <w:r>
        <w:rPr>
          <w:spacing w:val="10"/>
        </w:rPr>
        <w:t>他支出</w:t>
      </w:r>
      <w:r>
        <w:rPr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spacing w:val="-2"/>
        </w:rPr>
      </w:pPr>
      <w:r>
        <w:rPr>
          <w:b/>
          <w:bCs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spacing w:val="7"/>
          <w:lang w:eastAsia="zh-CN"/>
        </w:rPr>
      </w:pPr>
      <w:r>
        <w:rPr>
          <w:rFonts w:hint="eastAsia"/>
          <w:spacing w:val="7"/>
          <w:lang w:eastAsia="zh-CN"/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</w:pPr>
      <w:r>
        <w:rPr>
          <w:b/>
          <w:bCs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spacing w:val="7"/>
          <w:lang w:eastAsia="zh-CN"/>
        </w:rPr>
      </w:pPr>
      <w:r>
        <w:rPr>
          <w:rFonts w:hint="eastAsia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rFonts w:hint="eastAsia"/>
          <w:spacing w:val="7"/>
          <w:lang w:eastAsia="zh-CN"/>
        </w:rPr>
        <w:t>本单位非行政</w:t>
      </w:r>
      <w:r>
        <w:rPr>
          <w:spacing w:val="7"/>
        </w:rPr>
        <w:t>参公单位，无机关运行经费</w:t>
      </w:r>
      <w:r>
        <w:rPr>
          <w:rFonts w:hint="eastAsia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</w:pPr>
      <w:r>
        <w:rPr>
          <w:b/>
          <w:bCs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年单位政府采</w:t>
      </w:r>
      <w:bookmarkStart w:id="0" w:name="_GoBack"/>
      <w:r>
        <w:rPr>
          <w:color w:val="auto"/>
          <w:spacing w:val="11"/>
        </w:rPr>
        <w:t>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color w:val="auto"/>
          <w:spacing w:val="11"/>
        </w:rPr>
        <w:t>总</w:t>
      </w:r>
      <w:bookmarkEnd w:id="0"/>
      <w:r>
        <w:rPr>
          <w:spacing w:val="11"/>
        </w:rPr>
        <w:t>额</w:t>
      </w:r>
      <w:r>
        <w:rPr>
          <w:rFonts w:hint="eastAsia"/>
          <w:spacing w:val="11"/>
          <w:lang w:val="en-US" w:eastAsia="zh-CN"/>
        </w:rPr>
        <w:t>10</w:t>
      </w:r>
      <w:r>
        <w:rPr>
          <w:spacing w:val="11"/>
        </w:rPr>
        <w:t>万元,其中: 政</w:t>
      </w:r>
      <w:r>
        <w:rPr>
          <w:spacing w:val="19"/>
        </w:rPr>
        <w:t>府采购货物预算</w:t>
      </w:r>
      <w:r>
        <w:rPr>
          <w:rFonts w:hint="eastAsia"/>
          <w:spacing w:val="19"/>
          <w:lang w:val="en-US" w:eastAsia="zh-CN"/>
        </w:rPr>
        <w:t>10</w:t>
      </w:r>
      <w:r>
        <w:rPr>
          <w:spacing w:val="19"/>
        </w:rPr>
        <w:t>万元, 政府采购工程预算</w:t>
      </w:r>
      <w:r>
        <w:rPr>
          <w:rFonts w:hint="eastAsia"/>
          <w:spacing w:val="-139"/>
          <w:lang w:val="en-US" w:eastAsia="zh-CN"/>
        </w:rPr>
        <w:t xml:space="preserve">0           </w:t>
      </w:r>
      <w:r>
        <w:rPr>
          <w:spacing w:val="19"/>
        </w:rPr>
        <w:t>万元,</w:t>
      </w:r>
      <w:r>
        <w:rPr>
          <w:spacing w:val="4"/>
        </w:rPr>
        <w:t>政府采购服务预算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</w:pPr>
      <w:r>
        <w:rPr>
          <w:b/>
          <w:bCs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sz w:val="21"/>
        </w:rPr>
      </w:pPr>
      <w:r>
        <w:rPr>
          <w:b w:val="0"/>
          <w:bCs w:val="0"/>
          <w:spacing w:val="6"/>
          <w:position w:val="20"/>
        </w:rPr>
        <w:t>本单位本年度</w:t>
      </w:r>
      <w:r>
        <w:rPr>
          <w:b w:val="0"/>
          <w:bCs w:val="0"/>
          <w:spacing w:val="5"/>
          <w:position w:val="20"/>
        </w:rPr>
        <w:t>未安排</w:t>
      </w:r>
      <w:r>
        <w:rPr>
          <w:rFonts w:hint="eastAsia"/>
          <w:b w:val="0"/>
          <w:bCs w:val="0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0.9</w:t>
      </w:r>
      <w:r>
        <w:rPr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0.9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0.1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656320" cy="5652135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6320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79510" cy="1879600"/>
            <wp:effectExtent l="0" t="0" r="635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7951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76005" cy="2769235"/>
            <wp:effectExtent l="0" t="0" r="1206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600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591550" cy="5275580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91550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26805" cy="1970405"/>
            <wp:effectExtent l="0" t="0" r="10795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680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27110" cy="4484370"/>
            <wp:effectExtent l="0" t="0" r="1143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711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892540" cy="1285240"/>
            <wp:effectExtent l="0" t="0" r="1016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25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99500" cy="1734820"/>
            <wp:effectExtent l="0" t="0" r="1778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950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03310" cy="1638935"/>
            <wp:effectExtent l="0" t="0" r="18415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331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70620" cy="3463925"/>
            <wp:effectExtent l="0" t="0" r="3175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70620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16645" cy="1852295"/>
            <wp:effectExtent l="0" t="0" r="14605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664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WQxZDM3MmYzNWM4ZGFhNmM0ZmFjYjFkYWRlYTYifQ=="/>
  </w:docVars>
  <w:rsids>
    <w:rsidRoot w:val="28C32CA0"/>
    <w:rsid w:val="28C32CA0"/>
    <w:rsid w:val="2DCD7A29"/>
    <w:rsid w:val="35E960FB"/>
    <w:rsid w:val="3DF20292"/>
    <w:rsid w:val="487027C2"/>
    <w:rsid w:val="4C991C0E"/>
    <w:rsid w:val="5211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2781</Words>
  <Characters>3044</Characters>
  <Lines>0</Lines>
  <Paragraphs>0</Paragraphs>
  <TotalTime>0</TotalTime>
  <ScaleCrop>false</ScaleCrop>
  <LinksUpToDate>false</LinksUpToDate>
  <CharactersWithSpaces>3336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DAF6339EB2804D9B8D4280B4FB192769_13</vt:lpwstr>
  </property>
</Properties>
</file>