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4"/>
          <w:sz w:val="43"/>
          <w:szCs w:val="43"/>
          <w14:textFill>
            <w14:solidFill>
              <w14:schemeClr w14:val="tx1"/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000000" w:themeColor="text1"/>
          <w:spacing w:val="4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经开区第一中心学校</w:t>
      </w:r>
      <w:r>
        <w:rPr>
          <w:rFonts w:hint="eastAsia" w:ascii="黑体" w:hAnsi="黑体" w:eastAsia="黑体" w:cs="黑体"/>
          <w:b/>
          <w:bCs/>
          <w:color w:val="000000" w:themeColor="text1"/>
          <w:spacing w:val="4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黑体" w:hAnsi="黑体" w:eastAsia="黑体" w:cs="黑体"/>
          <w:b/>
          <w:bCs/>
          <w:color w:val="000000" w:themeColor="text1"/>
          <w:spacing w:val="4"/>
          <w:sz w:val="43"/>
          <w:szCs w:val="43"/>
          <w14:textFill>
            <w14:solidFill>
              <w14:schemeClr w14:val="tx1"/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0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000000" w:themeColor="text1"/>
          <w:spacing w:val="4"/>
          <w:sz w:val="43"/>
          <w:szCs w:val="43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4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ind w:left="68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第一部分</w:t>
      </w:r>
      <w:r>
        <w:rPr>
          <w:color w:val="000000" w:themeColor="text1"/>
          <w:spacing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单位概况</w:t>
      </w:r>
    </w:p>
    <w:p>
      <w:pPr>
        <w:pStyle w:val="2"/>
        <w:spacing w:before="253" w:line="221" w:lineRule="auto"/>
        <w:ind w:left="132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一、单位主要职责</w:t>
      </w:r>
    </w:p>
    <w:p>
      <w:pPr>
        <w:pStyle w:val="2"/>
        <w:spacing w:before="253" w:line="222" w:lineRule="auto"/>
        <w:ind w:left="132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二、机构设置及人员情况</w:t>
      </w:r>
    </w:p>
    <w:p>
      <w:pPr>
        <w:pStyle w:val="2"/>
        <w:spacing w:before="251" w:line="221" w:lineRule="auto"/>
        <w:ind w:left="68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年单位预算表</w:t>
      </w:r>
    </w:p>
    <w:p>
      <w:pPr>
        <w:pStyle w:val="2"/>
        <w:spacing w:before="253" w:line="624" w:lineRule="exact"/>
        <w:ind w:left="132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:position w:val="23"/>
          <w14:textFill>
            <w14:solidFill>
              <w14:schemeClr w14:val="tx1"/>
            </w14:solidFill>
          </w14:textFill>
        </w:rPr>
        <w:t>一、《收支预算总表》</w:t>
      </w:r>
    </w:p>
    <w:p>
      <w:pPr>
        <w:pStyle w:val="2"/>
        <w:spacing w:line="221" w:lineRule="auto"/>
        <w:ind w:left="132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二、《单位收入总表》</w:t>
      </w:r>
    </w:p>
    <w:p>
      <w:pPr>
        <w:pStyle w:val="2"/>
        <w:spacing w:before="253" w:line="221" w:lineRule="auto"/>
        <w:ind w:left="132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三、《单位支出总表》</w:t>
      </w:r>
    </w:p>
    <w:p>
      <w:pPr>
        <w:pStyle w:val="2"/>
        <w:spacing w:before="253" w:line="223" w:lineRule="auto"/>
        <w:ind w:left="134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四、《财政拨款收支总表》</w:t>
      </w:r>
    </w:p>
    <w:p>
      <w:pPr>
        <w:pStyle w:val="2"/>
        <w:spacing w:before="249" w:line="222" w:lineRule="auto"/>
        <w:ind w:left="131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五、《一般公共预算支出表》</w:t>
      </w:r>
    </w:p>
    <w:p>
      <w:pPr>
        <w:pStyle w:val="2"/>
        <w:spacing w:before="251" w:line="222" w:lineRule="auto"/>
        <w:ind w:left="131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六、《一般公共预算基本支出表》</w:t>
      </w:r>
    </w:p>
    <w:p>
      <w:pPr>
        <w:pStyle w:val="2"/>
        <w:spacing w:before="252" w:line="223" w:lineRule="auto"/>
        <w:ind w:left="13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七、《财政拨款</w:t>
      </w:r>
      <w:r>
        <w:rPr>
          <w:color w:val="000000" w:themeColor="text1"/>
          <w:spacing w:val="-8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spacing w:val="-11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三公”经费支出表》</w:t>
      </w:r>
    </w:p>
    <w:p>
      <w:pPr>
        <w:pStyle w:val="2"/>
        <w:spacing w:before="249" w:line="220" w:lineRule="auto"/>
        <w:ind w:left="131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八、《政府性基金预算支出表》</w:t>
      </w:r>
    </w:p>
    <w:p>
      <w:pPr>
        <w:pStyle w:val="2"/>
        <w:spacing w:before="255" w:line="624" w:lineRule="exact"/>
        <w:ind w:left="130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position w:val="23"/>
          <w14:textFill>
            <w14:solidFill>
              <w14:schemeClr w14:val="tx1"/>
            </w14:solidFill>
          </w14:textFill>
        </w:rPr>
        <w:t>九、《国有资本经营预算支出表》</w:t>
      </w:r>
    </w:p>
    <w:p>
      <w:pPr>
        <w:pStyle w:val="2"/>
        <w:spacing w:line="222" w:lineRule="auto"/>
        <w:ind w:left="131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十、《项目绩效目标表》</w:t>
      </w:r>
    </w:p>
    <w:p>
      <w:pPr>
        <w:pStyle w:val="2"/>
        <w:spacing w:before="251" w:line="221" w:lineRule="auto"/>
        <w:ind w:left="68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年单位预算情况说明</w:t>
      </w:r>
    </w:p>
    <w:p>
      <w:pPr>
        <w:pStyle w:val="2"/>
        <w:spacing w:before="253" w:line="221" w:lineRule="auto"/>
        <w:ind w:left="132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一、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年单位预算收支情况说明</w:t>
      </w:r>
    </w:p>
    <w:p>
      <w:pPr>
        <w:pStyle w:val="2"/>
        <w:spacing w:before="252" w:line="222" w:lineRule="auto"/>
        <w:ind w:left="132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pacing w:val="-9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spacing w:val="-11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7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7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2" w:line="222" w:lineRule="auto"/>
        <w:ind w:left="68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第四部分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名词解释</w:t>
      </w:r>
    </w:p>
    <w:p>
      <w:pPr>
        <w:spacing w:line="222" w:lineRule="auto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8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8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8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第一部分</w:t>
      </w:r>
      <w:r>
        <w:rPr>
          <w:color w:val="000000" w:themeColor="text1"/>
          <w:spacing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经开区第一中心学校单位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3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5"/>
          <w:sz w:val="31"/>
          <w:szCs w:val="31"/>
          <w14:textFill>
            <w14:solidFill>
              <w14:schemeClr w14:val="tx1"/>
            </w14:solidFill>
          </w14:textFill>
        </w:rPr>
        <w:t>一、单位主要职责</w:t>
      </w:r>
    </w:p>
    <w:p>
      <w:pPr>
        <w:spacing w:line="560" w:lineRule="exact"/>
        <w:ind w:firstLine="600" w:firstLineChars="200"/>
        <w:rPr>
          <w:rFonts w:hint="eastAsia"/>
          <w:color w:val="000000" w:themeColor="text1"/>
          <w:kern w:val="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南昌市新建</w:t>
      </w:r>
      <w:r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经开区第一中心学校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实施义务教育，促进基础教育发展</w:t>
      </w:r>
      <w:r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1"/>
          <w:sz w:val="28"/>
          <w:szCs w:val="28"/>
          <w14:textFill>
            <w14:solidFill>
              <w14:schemeClr w14:val="tx1"/>
            </w14:solidFill>
          </w14:textFill>
        </w:rPr>
        <w:t>全面贯彻执行国家的教育方针、政策及国家相关的法律法规；</w:t>
      </w:r>
      <w:r>
        <w:rPr>
          <w:rFonts w:ascii="Times New Roman" w:hAnsi="Times New Roman"/>
          <w:color w:val="000000" w:themeColor="text1"/>
          <w:kern w:val="1"/>
          <w:sz w:val="28"/>
          <w:szCs w:val="28"/>
          <w14:textFill>
            <w14:solidFill>
              <w14:schemeClr w14:val="tx1"/>
            </w14:solidFill>
          </w14:textFill>
        </w:rPr>
        <w:t> </w:t>
      </w:r>
      <w:r>
        <w:rPr>
          <w:color w:val="000000" w:themeColor="text1"/>
          <w:kern w:val="1"/>
          <w:sz w:val="28"/>
          <w:szCs w:val="28"/>
          <w14:textFill>
            <w14:solidFill>
              <w14:schemeClr w14:val="tx1"/>
            </w14:solidFill>
          </w14:textFill>
        </w:rPr>
        <w:t>实施素质教育，按照规定标准完成教育教学任务，保证教育教学质量；加强安全和后勤服务工作，为教育教学提供保障</w:t>
      </w:r>
      <w:r>
        <w:rPr>
          <w:rFonts w:hint="eastAsia"/>
          <w:color w:val="000000" w:themeColor="text1"/>
          <w:kern w:val="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000000" w:themeColor="text1"/>
          <w:spacing w:val="5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pacing w:val="5"/>
          <w:sz w:val="31"/>
          <w:szCs w:val="31"/>
          <w14:textFill>
            <w14:solidFill>
              <w14:schemeClr w14:val="tx1"/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年南昌市新建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经开区第一中心学校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112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112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159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112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112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/>
            </w14:solidFill>
          </w14:textFill>
        </w:rPr>
        <w:t>人。</w:t>
      </w: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69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经开区第一中心学校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年单位预算表</w:t>
      </w:r>
    </w:p>
    <w:p>
      <w:pPr>
        <w:pStyle w:val="2"/>
        <w:spacing w:before="171" w:line="226" w:lineRule="auto"/>
        <w:ind w:left="6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5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经开区第一中心学校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楷体"/>
          <w:b/>
          <w:bCs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7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年收入预算总额为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3513.3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减少183.38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减少4.96%，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主要原因是人员经费减少。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其中财政拨款收入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2124.45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337.47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;教育收费资金收入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减少597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学校收费减少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其他收入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888.85万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元，较上年预算安排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增加76.15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学校课后服务、其他单位拨款增加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年支出预算总额为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3513.3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减少183.38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，减少4.96%，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主要原因是人员经费支出减少。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 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3513.3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减少183.38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主要原因是人员经费支出减少。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2708.81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798.28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资本性支出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rFonts w:hint="eastAsia"/>
          <w:color w:val="000000" w:themeColor="text1"/>
          <w:spacing w:val="15"/>
          <w:lang w:eastAsia="zh-CN"/>
          <w14:textFill>
            <w14:solidFill>
              <w14:schemeClr w14:val="tx1"/>
            </w14:solidFill>
          </w14:textFill>
        </w:rPr>
        <w:t>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万元，对企业补助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万元，其他支出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3513.3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减少183.38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，减少4.96%，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主要原因是人员经费支出减少。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按支出经济分类划分：工资福利支出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2708.81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万元,较上年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315.96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;商品和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798.28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较上年预算安排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450.11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主要原因是学校公用开支减少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;对个人和家庭的补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助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0.04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主要原因是学校生活补助减少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;债务利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息及费用支出</w:t>
      </w:r>
      <w:r>
        <w:rPr>
          <w:color w:val="000000" w:themeColor="text1"/>
          <w:spacing w:val="-14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7"/>
          <w:lang w:val="en-US" w:eastAsia="zh-CN"/>
          <w14:textFill>
            <w14:solidFill>
              <w14:schemeClr w14:val="tx1"/>
            </w14:solidFill>
          </w14:textFill>
        </w:rPr>
        <w:t xml:space="preserve">      0           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万元，较上年预算安排增加</w:t>
      </w:r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元；资本性支出（基本建设）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万元；资本性支出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万元,较上年预算安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49.2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主要原因是学校政府采购减少；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对企业补助（基本建设）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5"/>
          <w:lang w:val="en-US" w:eastAsia="zh-CN"/>
          <w14:textFill>
            <w14:solidFill>
              <w14:schemeClr w14:val="tx1"/>
            </w14:solidFill>
          </w14:textFill>
        </w:rPr>
        <w:t xml:space="preserve">0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-9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position w:val="-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万元；对社会保险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基金补助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    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default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单位财政拨款支出预算总额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2124.45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337.47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。增长18.88，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主要原因是人员奖金增加；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default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2124.45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337.47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主要原因是人员奖金增加；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rFonts w:hint="default" w:eastAsia="仿宋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2124.45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337.47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主要原因是人员奖金增加；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2089.81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33.43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元。项目支出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，资本性支出（基本建设）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本单位非行政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参公单位，无机关运行经费</w:t>
      </w: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年单位政府采购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万元,其中: 政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府采购货物预算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 政府采购工程预算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9"/>
          <w:lang w:eastAsia="zh-CN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元,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政府采购服务预算</w:t>
      </w:r>
      <w:r>
        <w:rPr>
          <w:rFonts w:hint="eastAsia"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截至</w:t>
      </w:r>
      <w:r>
        <w:rPr>
          <w:rFonts w:hint="eastAsia"/>
          <w:color w:val="000000" w:themeColor="text1"/>
          <w:spacing w:val="-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年7</w:t>
      </w:r>
      <w:r>
        <w:rPr>
          <w:color w:val="000000" w:themeColor="text1"/>
          <w:spacing w:val="-4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pacing w:val="-3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31 日（各级财政编制部门预算基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础信息上报截止时间）, 单位共有车辆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4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辆,其中：一般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公务用车实有数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-4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年单位预算安排购置车辆</w:t>
      </w:r>
      <w:r>
        <w:rPr>
          <w:rFonts w:hint="eastAsia"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3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辆，</w:t>
      </w:r>
      <w:r>
        <w:rPr>
          <w:rFonts w:hint="eastAsia"/>
          <w:color w:val="000000" w:themeColor="text1"/>
          <w:spacing w:val="8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安排购置单位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价值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200</w:t>
      </w:r>
      <w:r>
        <w:rPr>
          <w:color w:val="000000" w:themeColor="text1"/>
          <w:spacing w:val="-47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（九）项目情况说明</w:t>
      </w:r>
      <w:r>
        <w:rPr>
          <w:rFonts w:hint="eastAsia"/>
          <w:b/>
          <w:bCs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本单位本年度未安排项目。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楷体"/>
          <w:b/>
          <w:bCs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年</w:t>
      </w:r>
      <w:r>
        <w:rPr>
          <w:rFonts w:ascii="楷体" w:hAnsi="楷体" w:eastAsia="楷体" w:cs="楷体"/>
          <w:color w:val="000000" w:themeColor="text1"/>
          <w:spacing w:val="-10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000000" w:themeColor="text1"/>
          <w:spacing w:val="-49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单位为"三公"经费</w:t>
      </w:r>
      <w:r>
        <w:rPr>
          <w:rFonts w:hint="eastAsia"/>
          <w:color w:val="000000" w:themeColor="text1"/>
          <w:spacing w:val="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安排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1.35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因公出国（境）费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万元,比上年增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1.35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万元,比上年减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0.15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万元，主要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原因</w:t>
      </w:r>
      <w:r>
        <w:rPr>
          <w:rFonts w:hint="eastAsia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：压减三公支出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公务用车运行维护费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万元,比上年增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元</w:t>
      </w:r>
      <w:r>
        <w:rPr>
          <w:rFonts w:hint="eastAsia"/>
          <w:color w:val="000000" w:themeColor="text1"/>
          <w:spacing w:val="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公务用车购置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万元,比上年增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第四部分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6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一）财政拨款：指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8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二）教育收费资金收入：反映实行专项管理的高中以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:position w:val="21"/>
          <w14:textFill>
            <w14:solidFill>
              <w14:schemeClr w14:val="tx1"/>
            </w14:solidFill>
          </w14:textFill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:position w:val="21"/>
          <w14:textFill>
            <w14:solidFill>
              <w14:schemeClr w14:val="tx1"/>
            </w14:solidFill>
          </w14:textFill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（五）附属单位上缴收入：反映事业单位附属的独立核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:position w:val="21"/>
          <w14:textFill>
            <w14:solidFill>
              <w14:schemeClr w14:val="tx1"/>
            </w14:solidFill>
          </w14:textFill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:position w:val="21"/>
          <w14:textFill>
            <w14:solidFill>
              <w14:schemeClr w14:val="tx1"/>
            </w14:solidFill>
          </w14:textFill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（八）使用非财政拨款结余：填列历年滚存的非限定用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途的非统计财政拨款结余弥补</w:t>
      </w:r>
      <w:r>
        <w:rPr>
          <w:rFonts w:hint="eastAsia"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（九）上年结转和结余：填列上年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全部结转和结余的资金数，包括当年结转结余资金和历年滚存结转结余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资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对部门预算中涉及的支出功能分类科目（明细到项级</w:t>
      </w:r>
      <w:r>
        <w:rPr>
          <w:rFonts w:hint="eastAsia"/>
          <w:color w:val="000000" w:themeColor="text1"/>
          <w:spacing w:val="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0"/>
          <w:w w:val="92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结合部门实际，参照《</w:t>
      </w:r>
      <w:r>
        <w:rPr>
          <w:rFonts w:hint="eastAsia"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年政府收支分类科目》的规范说明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79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一）机关运行费：指用财政拨款安排的为保障行政单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位（含参照公务员法管理的事业单位）运行用于购买货物</w:t>
      </w:r>
      <w:bookmarkStart w:id="0" w:name="_GoBack"/>
      <w:bookmarkEnd w:id="0"/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服务的各项资金，包括办公费、</w:t>
      </w:r>
      <w:r>
        <w:rPr>
          <w:color w:val="000000" w:themeColor="text1"/>
          <w:spacing w:val="-8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印刷费、邮电费、差旅费、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>会议费、福利费、日常维修费、专用材料及一般设备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购置费、 </w:t>
      </w: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办公用房水电费、办公用房取暖费、办公用房物业管理费、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000000" w:themeColor="text1"/>
          <w:spacing w:val="-13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6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14:textFill>
            <w14:solidFill>
              <w14:schemeClr w14:val="tx1"/>
            </w14:solidFill>
          </w14:textFill>
        </w:rPr>
        <w:t>二）“三公”经费：指用财政拨款安排的因公出国（境）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费、公务用车购置及运行维护费和公务接待费。其中，因公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出国（境）费反映单位公务出国（境）的国际旅费、国外城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市间交通费、住宿费、伙食费、培训费、公杂费等支出；公</w:t>
      </w:r>
      <w:r>
        <w:rPr>
          <w:color w:val="000000" w:themeColor="text1"/>
          <w:spacing w:val="9"/>
          <w14:textFill>
            <w14:solidFill>
              <w14:schemeClr w14:val="tx1"/>
            </w14:solidFill>
          </w14:textFill>
        </w:rPr>
        <w:t>务用车购置及运行维护费反映单位公务用车车辆</w:t>
      </w:r>
      <w:r>
        <w:rPr>
          <w:spacing w:val="9"/>
        </w:rPr>
        <w:t>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7401560" cy="540639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01560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rPr>
          <w:rFonts w:hint="default"/>
          <w:lang w:val="en-US"/>
        </w:rPr>
      </w:pPr>
      <w:r>
        <w:drawing>
          <wp:inline distT="0" distB="0" distL="114300" distR="114300">
            <wp:extent cx="8373745" cy="3298190"/>
            <wp:effectExtent l="0" t="0" r="889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73745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r>
        <w:drawing>
          <wp:inline distT="0" distB="0" distL="114300" distR="114300">
            <wp:extent cx="8783320" cy="2721610"/>
            <wp:effectExtent l="0" t="0" r="635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332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94425" cy="5909310"/>
            <wp:effectExtent l="0" t="0" r="381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9442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757920" cy="2713990"/>
            <wp:effectExtent l="0" t="0" r="1397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792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946900" cy="5743575"/>
            <wp:effectExtent l="0" t="0" r="190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69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r>
        <w:drawing>
          <wp:inline distT="0" distB="0" distL="114300" distR="114300">
            <wp:extent cx="8670290" cy="121666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02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345170" cy="160909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51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8538210" cy="1547495"/>
            <wp:effectExtent l="0" t="0" r="698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82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WE1ZDQ0YTY3Y2RhNTc2ZGI3ZmEyYmM0ZWE3OTMifQ=="/>
  </w:docVars>
  <w:rsids>
    <w:rsidRoot w:val="28C32CA0"/>
    <w:rsid w:val="10844FD5"/>
    <w:rsid w:val="11A726C0"/>
    <w:rsid w:val="1AF639EC"/>
    <w:rsid w:val="1DAE4226"/>
    <w:rsid w:val="28C32CA0"/>
    <w:rsid w:val="33D64125"/>
    <w:rsid w:val="4CBB5C11"/>
    <w:rsid w:val="51A96003"/>
    <w:rsid w:val="59E0230F"/>
    <w:rsid w:val="7AC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A01D37D835584C088A8F77125BAD5F7E_13</vt:lpwstr>
  </property>
</Properties>
</file>