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第一中学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第一中学单位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第一中学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实施高中教育，为学生的终身发展奠定基础。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第一中学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425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346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78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第一中学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12445.65</w:t>
      </w:r>
      <w:r>
        <w:rPr>
          <w:rFonts w:hint="eastAsia"/>
          <w:spacing w:val="11"/>
          <w:lang w:val="en-US" w:eastAsia="en-US"/>
        </w:rPr>
        <w:t xml:space="preserve">万元,较上年预算安排 </w:t>
      </w:r>
      <w:bookmarkStart w:id="0" w:name="_GoBack"/>
      <w:r>
        <w:rPr>
          <w:rFonts w:hint="eastAsia"/>
          <w:color w:val="auto"/>
          <w:spacing w:val="11"/>
          <w:lang w:val="en-US" w:eastAsia="en-US"/>
        </w:rPr>
        <w:t>增加</w:t>
      </w:r>
      <w:r>
        <w:rPr>
          <w:rFonts w:hint="eastAsia"/>
          <w:color w:val="auto"/>
          <w:spacing w:val="11"/>
          <w:lang w:val="en-US" w:eastAsia="zh-CN"/>
        </w:rPr>
        <w:t>2810.58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增长29.17%,主要原因是人员经费增加。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6828.84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838.15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1650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663.13</w:t>
      </w:r>
      <w:r>
        <w:rPr>
          <w:rFonts w:hint="eastAsia"/>
          <w:color w:val="auto"/>
          <w:spacing w:val="11"/>
          <w:lang w:val="en-US" w:eastAsia="en-US"/>
        </w:rPr>
        <w:t xml:space="preserve"> 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3966.82万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增加1309.3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/>
          <w:color w:val="auto"/>
          <w:spacing w:val="11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12445.65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2810.58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增长29.17%,主要原因是人员经费增加。</w:t>
      </w:r>
      <w:r>
        <w:rPr>
          <w:color w:val="auto"/>
          <w:spacing w:val="5"/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12445.65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2810.58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10524.97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1719.25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6.43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195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12445.65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2810.58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增长29.17%,主要原因是人员经费增加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10524.97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8269.48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sz w:val="32"/>
          <w:szCs w:val="32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1719.25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较上年预算安排增加</w:t>
      </w:r>
      <w:r>
        <w:rPr>
          <w:rFonts w:hint="eastAsia"/>
          <w:color w:val="auto"/>
          <w:spacing w:val="12"/>
          <w:lang w:val="en-US" w:eastAsia="zh-CN"/>
        </w:rPr>
        <w:t>460.51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6.43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0.43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195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95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6828.84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838.15</w:t>
      </w:r>
      <w:r>
        <w:rPr>
          <w:color w:val="auto"/>
          <w:spacing w:val="5"/>
        </w:rPr>
        <w:t>万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13.99%，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0" w:firstLineChars="200"/>
        <w:jc w:val="left"/>
        <w:textAlignment w:val="baseline"/>
        <w:rPr>
          <w:color w:val="auto"/>
        </w:rPr>
      </w:pP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6828.84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838.15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13.99%，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6828.84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838.15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6747.9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74.5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6.43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285.25</w:t>
      </w:r>
      <w:r>
        <w:rPr>
          <w:color w:val="auto"/>
          <w:spacing w:val="11"/>
        </w:rPr>
        <w:t>万元,其中: 政</w:t>
      </w:r>
      <w:bookmarkEnd w:id="0"/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285.25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4.5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4.5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0.5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27110" cy="5652135"/>
            <wp:effectExtent l="0" t="0" r="571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711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87435" cy="2193290"/>
            <wp:effectExtent l="0" t="0" r="165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743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84260" cy="2771775"/>
            <wp:effectExtent l="0" t="0" r="952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2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5759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759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95385" cy="2827655"/>
            <wp:effectExtent l="0" t="0" r="1079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538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3785" cy="4484370"/>
            <wp:effectExtent l="0" t="0" r="1143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44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60460" cy="1266190"/>
            <wp:effectExtent l="0" t="0" r="1016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03310" cy="1735455"/>
            <wp:effectExtent l="0" t="0" r="1714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31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54110" cy="1648460"/>
            <wp:effectExtent l="0" t="0" r="889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41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50300" cy="2082800"/>
            <wp:effectExtent l="0" t="0" r="1270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3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93175" cy="1889760"/>
            <wp:effectExtent l="0" t="0" r="152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9317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28C32CA0"/>
    <w:rsid w:val="2E641E06"/>
    <w:rsid w:val="43152D1C"/>
    <w:rsid w:val="5D3E3620"/>
    <w:rsid w:val="6C69340B"/>
    <w:rsid w:val="793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3116779AE22D4B50B3B81BF4EAD604D7_13</vt:lpwstr>
  </property>
</Properties>
</file>