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南昌市新建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区教育体育局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信息公开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年报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（2020年）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本年度报告是根据《中华人民共和国政府信息公开条例》(以下简称《条例》)要求，由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南昌市新建</w:t>
      </w:r>
      <w:r>
        <w:rPr>
          <w:rFonts w:hint="eastAsia" w:ascii="仿宋" w:hAnsi="仿宋" w:eastAsia="仿宋" w:cs="仿宋"/>
          <w:sz w:val="32"/>
          <w:szCs w:val="32"/>
        </w:rPr>
        <w:t>区教育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sz w:val="32"/>
          <w:szCs w:val="32"/>
        </w:rPr>
        <w:t>局编制。全文包括概述、主动公开政府信息情况、依申请公开政府信息情况、政府信息公开复议、诉讼情况，政府信息公开支出和收费、其它相关工作情况、存在的主要问题和改进措施，并附相关说明和指标统计附表。本年度报告中所列数据的统计期限自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 1 月 1 日起至 12 月 31 日止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要以网上公布形式为主，本年度报告的电子版可以在南昌市新建区政府信息公开网（http://www.xinjian.gov.cn/Category_491/Index.aspx）下载。如对本报告有任何疑问，请与南昌市新建区教育体育局联系（地址：新建区子实路163号；邮编：330100；电话：0791-83752519；传真：0791-83752519；电子邮箱：xjxjtj@163.com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 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sz w:val="32"/>
          <w:szCs w:val="32"/>
        </w:rPr>
        <w:t>局政府信息公开工作以党的十九大精神为指导，紧紧围绕区政府对信息公开工作的决策部署，认真落实《中华人民共和国政府信息公开条例》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坚持以公开为常态、不公开为例外的原则，深化重点领域信息公开，加强信息发布、解读，积极回应社会需求，加强网站内容与功能建设，不断增强信息公开实效，使政府信息公开工作更好地服务于全区教育改革发展，服务于法治政府、廉洁政府和服务型政府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年12月31日，本局共发文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508</w:t>
      </w:r>
      <w:r>
        <w:rPr>
          <w:rFonts w:hint="eastAsia" w:ascii="仿宋" w:hAnsi="仿宋" w:eastAsia="仿宋" w:cs="仿宋"/>
          <w:sz w:val="32"/>
          <w:szCs w:val="32"/>
        </w:rPr>
        <w:t>件，主动公开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305</w:t>
      </w:r>
      <w:r>
        <w:rPr>
          <w:rFonts w:hint="eastAsia" w:ascii="仿宋" w:hAnsi="仿宋" w:eastAsia="仿宋" w:cs="仿宋"/>
          <w:sz w:val="32"/>
          <w:szCs w:val="32"/>
        </w:rPr>
        <w:t>件，依申请公开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件，主动公开率为6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 深化公开内容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公开了教育改革发展及重点工作推进情况。围绕教育“十三五”规划和教育综合改革，以“规划推进”专栏的形式公开了青少年科技教育、学前教育、德育工作、艺术教育等年度报告及推进举措，全方位展示教育“十三五”规划推进过程和各项目标任务的落实情况。着重公开了我区在综改过程中制定的方案、文件，研学旅行、教师培养以及早教服务等重大项目推进情况及各大媒体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</w:t>
      </w:r>
      <w:r>
        <w:rPr>
          <w:rFonts w:hint="eastAsia" w:ascii="仿宋" w:hAnsi="仿宋" w:eastAsia="仿宋" w:cs="仿宋"/>
          <w:sz w:val="32"/>
          <w:szCs w:val="32"/>
        </w:rPr>
        <w:t>推进教育综改的报道。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财政资金信息。“财政资金管理”专栏在规定时限、规定栏目详细公开了20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年部门预决算、“三公”经费预决算、专项资金信息、教育经费预决算报告和单位预决算五大类信息。新增设“教育经费预决算报告”栏目，公开内容进一步拓展。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招生考试信息。在“信息公开”下的“入学报考与招生”栏目，及时完整公开了学前教育、义务教育、高中阶段等各学段的招生考试文件。如：区域招生工作实施意见（含招生计划、对口入园入学地段、收费标准等信息）、幼儿园网上报名操作细则、信息登记等配套政策、各校办学规模与设施、需接受特殊教育学前儿童入园指南等。在义务教育阶段，严格按照要求，完整公开了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年义务教育阶段学校招生相关信息，同时对公办学校和民办学校进行了区分。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（二）主动公开途径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1.政府网站。本局政府信息通过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</w:t>
      </w:r>
      <w:r>
        <w:rPr>
          <w:rFonts w:hint="eastAsia" w:ascii="仿宋" w:hAnsi="仿宋" w:eastAsia="仿宋" w:cs="仿宋"/>
          <w:sz w:val="32"/>
          <w:szCs w:val="32"/>
        </w:rPr>
        <w:t>区人民政府门户网站、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新建区教育体育局</w:t>
      </w:r>
      <w:r>
        <w:rPr>
          <w:rFonts w:hint="eastAsia" w:ascii="仿宋" w:hAnsi="仿宋" w:eastAsia="仿宋" w:cs="仿宋"/>
          <w:sz w:val="32"/>
          <w:szCs w:val="32"/>
        </w:rPr>
        <w:t>微信等信息渠道进行发布。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2.政务微信。截止到12月31日，“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新建区教育体育局</w:t>
      </w:r>
      <w:r>
        <w:rPr>
          <w:rFonts w:hint="eastAsia" w:ascii="仿宋" w:hAnsi="仿宋" w:eastAsia="仿宋" w:cs="仿宋"/>
          <w:sz w:val="32"/>
          <w:szCs w:val="32"/>
        </w:rPr>
        <w:t>”政务微信平台，下设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服务平台和新闻咨询两</w:t>
      </w:r>
      <w:r>
        <w:rPr>
          <w:rFonts w:hint="eastAsia" w:ascii="仿宋" w:hAnsi="仿宋" w:eastAsia="仿宋" w:cs="仿宋"/>
          <w:sz w:val="32"/>
          <w:szCs w:val="32"/>
        </w:rPr>
        <w:t>大栏目，链接“政策解读”、“招生考试”、“公示公告”等信息。及时主动解读教育政策文件、回应民生关切，保持信息持续更新。目前“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新建区教育体育局</w:t>
      </w:r>
      <w:r>
        <w:rPr>
          <w:rFonts w:hint="eastAsia" w:ascii="仿宋" w:hAnsi="仿宋" w:eastAsia="仿宋" w:cs="仿宋"/>
          <w:sz w:val="32"/>
          <w:szCs w:val="32"/>
        </w:rPr>
        <w:t>”微信关注数已超过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3500</w:t>
      </w:r>
      <w:r>
        <w:rPr>
          <w:rFonts w:hint="eastAsia" w:ascii="仿宋" w:hAnsi="仿宋" w:eastAsia="仿宋" w:cs="仿宋"/>
          <w:sz w:val="32"/>
          <w:szCs w:val="32"/>
        </w:rPr>
        <w:t>。截止到12月31日，共发布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194</w:t>
      </w:r>
      <w:r>
        <w:rPr>
          <w:rFonts w:hint="eastAsia" w:ascii="仿宋" w:hAnsi="仿宋" w:eastAsia="仿宋" w:cs="仿宋"/>
          <w:sz w:val="32"/>
          <w:szCs w:val="32"/>
        </w:rPr>
        <w:t>条内容。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三、依申请公开政府信息情况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区教育局20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年度共受理政府信息公开申请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件，其中当面申请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件，传真申请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件，网络申请3件，信函申请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件。从申请的信息内容来看，主要涉及教师编制、招生和机构职能等信息。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（二）申请处理情况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本年度答复政府信息公开申请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件，全部为15个工作日内按时办结。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四、政府信息公开复议、诉讼情况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按办结时间统计，20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年发生针对本区有关政府信息公开事务的行政诉讼案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年度未发生针对本部门有关政府信息公开事务的行政复议案件。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五、存在的主要问题和改进措施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年，我局在政府信息公开建设工作还存在以下问题：一是主动公开内容还需要进一步深化；二是学校信息公开建设还有待进一步规范；三是网上服务实效还需要进一步提升。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针对以上不足，20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年，我局将重点做好以下工作：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一是强化对信息公开工作的培训。重点是加强对教育行政部门的领导及工作人员、学校校长的培训，进一步增强对信息公开工作的认识和重视程度。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深化信息公开内容。主动聚合教育行政部门在履职过程中可以公开的信息，形成主题丰富、多样的教育专题信息。持续推进学校信息公开工作，加强学校信息公开目录、呈现形式的规范化建设，及时公开公众关注度高的信息，提升学校信息公开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发挥网上互动实效。围绕教育综合改革、“十三五”规划推进等重点工作，通过网上征询、网上讨论、网上调查等栏目，做好与社会、公众的沟通交流，及时汇总、反馈互动交流结果，切实增强政府信息公开工作对教育改革发展的推动和服务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南昌市新建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区教育体育局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信息公开情况统计表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 201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</w:p>
    <w:tbl>
      <w:tblPr>
        <w:tblStyle w:val="3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2"/>
        <w:gridCol w:w="756"/>
        <w:gridCol w:w="710"/>
      </w:tblGrid>
      <w:tr>
        <w:tblPrEx>
          <w:shd w:val="clear" w:color="auto" w:fill="FFFFFF"/>
        </w:tblPrEx>
        <w:trPr>
          <w:jc w:val="center"/>
        </w:trPr>
        <w:tc>
          <w:tcPr>
            <w:tcW w:w="586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统 计 指 标</w:t>
            </w:r>
          </w:p>
        </w:tc>
        <w:tc>
          <w:tcPr>
            <w:tcW w:w="75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71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统计数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一、主动公开情况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制发规范性文件总数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1.政府公报公开政府信息数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2.政府网站公开政府信息数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3.政务微博公开政府信息数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4.政务微信公开政府信息数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5.其他方式公开政府信息数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二、回应解读情况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2.政府网站在线访谈次数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3.政策解读稿件发布数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篇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4.微博微信回应事件数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5.其他方式回应事件数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三、依申请公开情况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（一）收到申请数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1.当面申请数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2.传真申请数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3.网络申请数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4.信函申请数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（二）申请办结数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1.按时办结数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2.延期办结数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（三）申请答复数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1.属于已主动公开范围数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2.同意公开答复数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3.同意部分公开答复数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4.不同意公开答复数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其中：涉及国家秘密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涉及商业秘密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涉及个人隐私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法律法规规定的其他情形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5.不属于本行政机关公开数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6.申请信息不存在数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7.告知作出更改补充数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8.告知通过其他途径办理数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四、行政复议数量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（二）被依法纠错数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（三）其他情形数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五、行政诉讼数量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（二）被依法纠错数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（三）其他情形数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六、举报投诉数量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个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个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2.兼职人员数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（四）政府信息公开专项经费（不包括用于政府公报编辑管理及政府网站建设维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护等方面的经费）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万元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（二）举办各类培训班数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（三）接受培训人员数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人次</w:t>
            </w:r>
          </w:p>
        </w:tc>
        <w:tc>
          <w:tcPr>
            <w:tcW w:w="7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 w:firstLineChars="1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　</w:t>
      </w: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32BE"/>
    <w:rsid w:val="3DD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2021-01-14T08:42:00Z</dcterms:created>
  <dc:creator>凡心春随</dc:creator>
  <cp:lastModifiedBy>凡心春随</cp:lastModifiedBy>
  <dcterms:modified xsi:type="dcterms:W3CDTF">2021-01-14T09:46:35Z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