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sz w:val="44"/>
          <w:szCs w:val="44"/>
          <w:lang w:val="en-US" w:eastAsia="zh-CN"/>
        </w:rPr>
        <w:t>南昌市新建区教体局2023年政府信息公开工作年度报告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本报告依据《中华人民共和国政府信息公开条例》(国务院令第711号)和《国务院办公厅政府信息与政务公开办公室关于政府信息公开工作年度报告有关事项的通知》(国办公开办函〔2021〕30号)等要求,结合我</w:t>
      </w:r>
      <w:r>
        <w:rPr>
          <w:rFonts w:hint="eastAsia" w:ascii="仿宋_GB2312" w:hAnsi="仿宋_GB2312" w:eastAsia="仿宋_GB2312" w:cs="仿宋_GB2312"/>
          <w:i w:val="0"/>
          <w:iCs w:val="0"/>
          <w:caps w:val="0"/>
          <w:color w:val="auto"/>
          <w:spacing w:val="0"/>
          <w:sz w:val="32"/>
          <w:szCs w:val="32"/>
          <w:shd w:val="clear" w:fill="FFFFFF"/>
          <w:lang w:val="en-US" w:eastAsia="zh-CN"/>
        </w:rPr>
        <w:t>局</w:t>
      </w:r>
      <w:r>
        <w:rPr>
          <w:rFonts w:hint="eastAsia" w:ascii="仿宋_GB2312" w:hAnsi="仿宋_GB2312" w:eastAsia="仿宋_GB2312" w:cs="仿宋_GB2312"/>
          <w:i w:val="0"/>
          <w:iCs w:val="0"/>
          <w:caps w:val="0"/>
          <w:color w:val="auto"/>
          <w:spacing w:val="0"/>
          <w:sz w:val="32"/>
          <w:szCs w:val="32"/>
          <w:shd w:val="clear" w:fill="FFFFFF"/>
        </w:rPr>
        <w:t>政府信息公开工作有关统计数据撰写。报告主要包括:总体情况、主动公开政府信息情况、收到和处理政府信息公开申请情况、因政府信息公开被申请行政复议和提起行政诉讼情况、政府信息公开工作存在主要问题及改进情况。本报告中使用数据统计期限为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年1月1日至12月31日。如对本报告有任何疑问,请与南昌市新建区</w:t>
      </w:r>
      <w:r>
        <w:rPr>
          <w:rFonts w:hint="eastAsia" w:ascii="仿宋_GB2312" w:hAnsi="仿宋_GB2312" w:eastAsia="仿宋_GB2312" w:cs="仿宋_GB2312"/>
          <w:i w:val="0"/>
          <w:iCs w:val="0"/>
          <w:caps w:val="0"/>
          <w:color w:val="auto"/>
          <w:spacing w:val="0"/>
          <w:sz w:val="32"/>
          <w:szCs w:val="32"/>
          <w:shd w:val="clear" w:fill="FFFFFF"/>
          <w:lang w:eastAsia="zh-CN"/>
        </w:rPr>
        <w:t>教体局</w:t>
      </w:r>
      <w:r>
        <w:rPr>
          <w:rFonts w:hint="eastAsia" w:ascii="仿宋_GB2312" w:hAnsi="仿宋_GB2312" w:eastAsia="仿宋_GB2312" w:cs="仿宋_GB2312"/>
          <w:i w:val="0"/>
          <w:iCs w:val="0"/>
          <w:caps w:val="0"/>
          <w:color w:val="auto"/>
          <w:spacing w:val="0"/>
          <w:sz w:val="32"/>
          <w:szCs w:val="32"/>
          <w:shd w:val="clear" w:fill="FFFFFF"/>
        </w:rPr>
        <w:t>办公室联系(电话:0791-837</w:t>
      </w:r>
      <w:r>
        <w:rPr>
          <w:rFonts w:hint="eastAsia" w:ascii="仿宋_GB2312" w:hAnsi="仿宋_GB2312" w:eastAsia="仿宋_GB2312" w:cs="仿宋_GB2312"/>
          <w:i w:val="0"/>
          <w:iCs w:val="0"/>
          <w:caps w:val="0"/>
          <w:color w:val="auto"/>
          <w:spacing w:val="0"/>
          <w:sz w:val="32"/>
          <w:szCs w:val="32"/>
          <w:shd w:val="clear" w:fill="FFFFFF"/>
          <w:lang w:val="en-US" w:eastAsia="zh-CN"/>
        </w:rPr>
        <w:t>52519</w:t>
      </w:r>
      <w:r>
        <w:rPr>
          <w:rFonts w:hint="eastAsia" w:ascii="仿宋_GB2312" w:hAnsi="仿宋_GB2312" w:eastAsia="仿宋_GB2312" w:cs="仿宋_GB2312"/>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年以来,南昌市新建区</w:t>
      </w:r>
      <w:r>
        <w:rPr>
          <w:rFonts w:hint="eastAsia" w:ascii="仿宋_GB2312" w:hAnsi="仿宋_GB2312" w:eastAsia="仿宋_GB2312" w:cs="仿宋_GB2312"/>
          <w:i w:val="0"/>
          <w:iCs w:val="0"/>
          <w:caps w:val="0"/>
          <w:color w:val="auto"/>
          <w:spacing w:val="0"/>
          <w:sz w:val="32"/>
          <w:szCs w:val="32"/>
          <w:shd w:val="clear" w:fill="FFFFFF"/>
          <w:lang w:eastAsia="zh-CN"/>
        </w:rPr>
        <w:t>教体局</w:t>
      </w:r>
      <w:r>
        <w:rPr>
          <w:rFonts w:hint="eastAsia" w:ascii="仿宋_GB2312" w:hAnsi="仿宋_GB2312" w:eastAsia="仿宋_GB2312" w:cs="仿宋_GB2312"/>
          <w:i w:val="0"/>
          <w:iCs w:val="0"/>
          <w:caps w:val="0"/>
          <w:color w:val="auto"/>
          <w:spacing w:val="0"/>
          <w:sz w:val="32"/>
          <w:szCs w:val="32"/>
          <w:shd w:val="clear" w:fill="FFFFFF"/>
        </w:rPr>
        <w:t>深入贯彻落实中央、省、市关于政府信息公开工作的各项决策部署，紧紧围绕卫生健康工作，重点突出社会关注、群众关心的热点民生问题，不断加强公开力度、丰富公开方式、深化公开内容、完善公开制度，有效地保障了社会公众知情权、监督权,卫生健康工作透明度和执法公信力显著提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sz w:val="32"/>
          <w:szCs w:val="32"/>
          <w:shd w:val="clear" w:fill="FFFFFF"/>
          <w:lang w:eastAsia="zh-CN"/>
        </w:rPr>
        <w:t>（一）</w:t>
      </w:r>
      <w:r>
        <w:rPr>
          <w:rFonts w:hint="eastAsia" w:ascii="仿宋_GB2312" w:hAnsi="仿宋_GB2312" w:eastAsia="仿宋_GB2312" w:cs="仿宋_GB2312"/>
          <w:b/>
          <w:bCs/>
          <w:i w:val="0"/>
          <w:iCs w:val="0"/>
          <w:caps w:val="0"/>
          <w:color w:val="auto"/>
          <w:spacing w:val="0"/>
          <w:sz w:val="32"/>
          <w:szCs w:val="32"/>
          <w:shd w:val="clear" w:fill="FFFFFF"/>
        </w:rPr>
        <w:t>主动公开情况</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年,我们不断丰富网站栏目内容发布,围绕履职依据、机关简介、规划信息、预算决算等法定主动公开内容范围,进一步加大栏目信息公开力度。截至12月31日止,主动公开政府信息共</w:t>
      </w:r>
      <w:r>
        <w:rPr>
          <w:rFonts w:hint="eastAsia" w:ascii="仿宋_GB2312" w:hAnsi="仿宋_GB2312" w:eastAsia="仿宋_GB2312" w:cs="仿宋_GB2312"/>
          <w:i w:val="0"/>
          <w:iCs w:val="0"/>
          <w:caps w:val="0"/>
          <w:color w:val="auto"/>
          <w:spacing w:val="0"/>
          <w:sz w:val="32"/>
          <w:szCs w:val="32"/>
          <w:shd w:val="clear" w:fill="FFFFFF"/>
          <w:lang w:val="en-US" w:eastAsia="zh-CN"/>
        </w:rPr>
        <w:t>185</w:t>
      </w:r>
      <w:r>
        <w:rPr>
          <w:rFonts w:hint="eastAsia" w:ascii="仿宋_GB2312" w:hAnsi="仿宋_GB2312" w:eastAsia="仿宋_GB2312" w:cs="仿宋_GB2312"/>
          <w:i w:val="0"/>
          <w:iCs w:val="0"/>
          <w:caps w:val="0"/>
          <w:color w:val="auto"/>
          <w:spacing w:val="0"/>
          <w:sz w:val="32"/>
          <w:szCs w:val="32"/>
          <w:shd w:val="clear" w:fill="FFFFFF"/>
        </w:rPr>
        <w:t>余条。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sz w:val="32"/>
          <w:szCs w:val="32"/>
          <w:shd w:val="clear" w:fill="FFFFFF"/>
        </w:rPr>
        <w:t>(二)依申请公开情况</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我</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高度重视依申请公开工作,完善工作机制,坚持依法规范办理,提高依申请办理质量,切实保障公众知情权,积极化解社会矛盾,不断增强人民群众获得感和幸福感。我</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共受理依申请公开</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件,从申请主体上看,自然人</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件,企业</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件;从申请方式上看,互联网申请</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件,其他方式申请</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(三)政府信息管理情况</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为加强对政府网站信息日常管理,</w:t>
      </w:r>
      <w:r>
        <w:rPr>
          <w:rFonts w:hint="eastAsia" w:ascii="仿宋_GB2312" w:hAnsi="仿宋_GB2312" w:eastAsia="仿宋_GB2312" w:cs="仿宋_GB2312"/>
          <w:i w:val="0"/>
          <w:iCs w:val="0"/>
          <w:caps w:val="0"/>
          <w:color w:val="auto"/>
          <w:spacing w:val="0"/>
          <w:sz w:val="32"/>
          <w:szCs w:val="32"/>
          <w:shd w:val="clear" w:fill="FFFFFF"/>
          <w:lang w:eastAsia="zh-CN"/>
        </w:rPr>
        <w:t>我局定期对局政府子网站开展全面自查梳理</w:t>
      </w:r>
      <w:r>
        <w:rPr>
          <w:rFonts w:hint="eastAsia" w:ascii="仿宋_GB2312" w:hAnsi="仿宋_GB2312" w:eastAsia="仿宋_GB2312" w:cs="仿宋_GB2312"/>
          <w:i w:val="0"/>
          <w:iCs w:val="0"/>
          <w:caps w:val="0"/>
          <w:color w:val="auto"/>
          <w:spacing w:val="0"/>
          <w:sz w:val="32"/>
          <w:szCs w:val="32"/>
          <w:shd w:val="clear" w:fill="FFFFFF"/>
        </w:rPr>
        <w:t>,形成</w:t>
      </w:r>
      <w:r>
        <w:rPr>
          <w:rFonts w:hint="eastAsia" w:ascii="仿宋_GB2312" w:hAnsi="仿宋_GB2312" w:eastAsia="仿宋_GB2312" w:cs="仿宋_GB2312"/>
          <w:i w:val="0"/>
          <w:iCs w:val="0"/>
          <w:caps w:val="0"/>
          <w:color w:val="auto"/>
          <w:spacing w:val="0"/>
          <w:sz w:val="32"/>
          <w:szCs w:val="32"/>
          <w:shd w:val="clear" w:fill="FFFFFF"/>
          <w:lang w:eastAsia="zh-CN"/>
        </w:rPr>
        <w:t>了</w:t>
      </w:r>
      <w:r>
        <w:rPr>
          <w:rFonts w:hint="eastAsia" w:ascii="仿宋_GB2312" w:hAnsi="仿宋_GB2312" w:eastAsia="仿宋_GB2312" w:cs="仿宋_GB2312"/>
          <w:i w:val="0"/>
          <w:iCs w:val="0"/>
          <w:caps w:val="0"/>
          <w:color w:val="auto"/>
          <w:spacing w:val="0"/>
          <w:sz w:val="32"/>
          <w:szCs w:val="32"/>
          <w:shd w:val="clear" w:fill="FFFFFF"/>
        </w:rPr>
        <w:t>“主要领导亲自抓、分管领导具体抓”的工作体系，确保政务公开工作常态化。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b/>
          <w:bCs/>
          <w:i w:val="0"/>
          <w:iCs w:val="0"/>
          <w:caps w:val="0"/>
          <w:color w:val="auto"/>
          <w:spacing w:val="0"/>
          <w:sz w:val="32"/>
          <w:szCs w:val="32"/>
          <w:shd w:val="clear" w:fill="FFFFFF"/>
          <w:lang w:val="en-US" w:eastAsia="zh-CN"/>
        </w:rPr>
        <w:t>四</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b/>
          <w:bCs/>
          <w:i w:val="0"/>
          <w:iCs w:val="0"/>
          <w:caps w:val="0"/>
          <w:color w:val="auto"/>
          <w:spacing w:val="0"/>
          <w:sz w:val="32"/>
          <w:szCs w:val="32"/>
          <w:shd w:val="clear" w:fill="FFFFFF"/>
        </w:rPr>
        <w:t>持续加强信息公开平台建设。</w:t>
      </w:r>
      <w:r>
        <w:rPr>
          <w:rFonts w:hint="eastAsia" w:ascii="仿宋_GB2312" w:hAnsi="仿宋_GB2312" w:eastAsia="仿宋_GB2312" w:cs="仿宋_GB2312"/>
          <w:i w:val="0"/>
          <w:iCs w:val="0"/>
          <w:caps w:val="0"/>
          <w:color w:val="auto"/>
          <w:spacing w:val="0"/>
          <w:sz w:val="32"/>
          <w:szCs w:val="32"/>
          <w:shd w:val="clear" w:fill="FFFFFF"/>
        </w:rPr>
        <w:t>依托新建区人民政府信息公开平台,及时主动公开政府信息,综合采用新建</w:t>
      </w:r>
      <w:r>
        <w:rPr>
          <w:rFonts w:hint="eastAsia" w:ascii="仿宋_GB2312" w:hAnsi="仿宋_GB2312" w:eastAsia="仿宋_GB2312" w:cs="仿宋_GB2312"/>
          <w:i w:val="0"/>
          <w:iCs w:val="0"/>
          <w:caps w:val="0"/>
          <w:color w:val="auto"/>
          <w:spacing w:val="0"/>
          <w:sz w:val="32"/>
          <w:szCs w:val="32"/>
          <w:shd w:val="clear" w:fill="FFFFFF"/>
          <w:lang w:val="en-US" w:eastAsia="zh-CN"/>
        </w:rPr>
        <w:t>区教育体育局</w:t>
      </w:r>
      <w:r>
        <w:rPr>
          <w:rFonts w:hint="eastAsia" w:ascii="仿宋_GB2312" w:hAnsi="仿宋_GB2312" w:eastAsia="仿宋_GB2312" w:cs="仿宋_GB2312"/>
          <w:i w:val="0"/>
          <w:iCs w:val="0"/>
          <w:caps w:val="0"/>
          <w:color w:val="auto"/>
          <w:spacing w:val="0"/>
          <w:sz w:val="32"/>
          <w:szCs w:val="32"/>
          <w:shd w:val="clear" w:fill="FFFFFF"/>
        </w:rPr>
        <w:t>微信公众号、公示公告、政务动态等多种形式，及时向社会公布相关信息。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iCs w:val="0"/>
          <w:caps w:val="0"/>
          <w:color w:val="auto"/>
          <w:spacing w:val="0"/>
          <w:sz w:val="32"/>
          <w:szCs w:val="32"/>
          <w:shd w:val="clear" w:fill="FFFFFF"/>
        </w:rPr>
        <w:t>(</w:t>
      </w:r>
      <w:r>
        <w:rPr>
          <w:rFonts w:hint="eastAsia" w:ascii="仿宋_GB2312" w:hAnsi="仿宋_GB2312" w:eastAsia="仿宋_GB2312" w:cs="仿宋_GB2312"/>
          <w:b/>
          <w:bCs/>
          <w:i w:val="0"/>
          <w:iCs w:val="0"/>
          <w:caps w:val="0"/>
          <w:color w:val="auto"/>
          <w:spacing w:val="0"/>
          <w:sz w:val="32"/>
          <w:szCs w:val="32"/>
          <w:shd w:val="clear" w:fill="FFFFFF"/>
          <w:lang w:val="en-US" w:eastAsia="zh-CN"/>
        </w:rPr>
        <w:t>五</w:t>
      </w:r>
      <w:r>
        <w:rPr>
          <w:rFonts w:hint="eastAsia" w:ascii="仿宋_GB2312" w:hAnsi="仿宋_GB2312" w:eastAsia="仿宋_GB2312" w:cs="仿宋_GB2312"/>
          <w:b/>
          <w:bCs/>
          <w:i w:val="0"/>
          <w:iCs w:val="0"/>
          <w:caps w:val="0"/>
          <w:color w:val="auto"/>
          <w:spacing w:val="0"/>
          <w:sz w:val="32"/>
          <w:szCs w:val="32"/>
          <w:shd w:val="clear" w:fill="FFFFFF"/>
        </w:rPr>
        <w:t>)监督保障情况</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color w:val="auto"/>
          <w:sz w:val="32"/>
          <w:szCs w:val="32"/>
          <w:lang w:val="en-US" w:eastAsia="zh-CN"/>
        </w:rPr>
        <w:t>我局</w:t>
      </w:r>
      <w:r>
        <w:rPr>
          <w:rFonts w:hint="eastAsia" w:ascii="仿宋_GB2312" w:hAnsi="仿宋_GB2312" w:eastAsia="仿宋_GB2312" w:cs="仿宋_GB2312"/>
          <w:color w:val="auto"/>
          <w:sz w:val="32"/>
          <w:szCs w:val="32"/>
          <w:lang w:eastAsia="zh-CN"/>
        </w:rPr>
        <w:t>对政府信息发布情况高度重视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定期对局政府子网站开展全面自查梳理，</w:t>
      </w:r>
      <w:r>
        <w:rPr>
          <w:rFonts w:hint="eastAsia" w:ascii="仿宋_GB2312" w:hAnsi="仿宋_GB2312" w:eastAsia="仿宋_GB2312" w:cs="仿宋_GB2312"/>
          <w:color w:val="auto"/>
          <w:sz w:val="32"/>
          <w:szCs w:val="32"/>
          <w:lang w:val="en-US" w:eastAsia="zh-CN"/>
        </w:rPr>
        <w:t>进一步转换理念，提高认识。定期</w:t>
      </w:r>
      <w:r>
        <w:rPr>
          <w:rFonts w:hint="eastAsia" w:ascii="仿宋_GB2312" w:hAnsi="仿宋_GB2312" w:eastAsia="仿宋_GB2312" w:cs="仿宋_GB2312"/>
          <w:color w:val="auto"/>
          <w:sz w:val="32"/>
          <w:szCs w:val="32"/>
          <w:lang w:eastAsia="zh-CN"/>
        </w:rPr>
        <w:t>组织分管领导和具体经办工作人员召开工作调度会，进一步强化举措，</w:t>
      </w:r>
      <w:r>
        <w:rPr>
          <w:rFonts w:hint="eastAsia" w:ascii="仿宋_GB2312" w:hAnsi="仿宋_GB2312" w:eastAsia="仿宋_GB2312" w:cs="仿宋_GB2312"/>
          <w:color w:val="auto"/>
          <w:sz w:val="32"/>
          <w:szCs w:val="32"/>
          <w:lang w:val="en-US" w:eastAsia="zh-CN"/>
        </w:rPr>
        <w:t>确保政务公开工作常态化。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二、主动公开政府信息情况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2333"/>
        <w:gridCol w:w="1983"/>
        <w:gridCol w:w="2057"/>
        <w:gridCol w:w="199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24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本年制发件数</w:t>
            </w:r>
          </w:p>
        </w:tc>
        <w:tc>
          <w:tcPr>
            <w:tcW w:w="259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本年废止件数</w:t>
            </w:r>
          </w:p>
        </w:tc>
        <w:tc>
          <w:tcPr>
            <w:tcW w:w="24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现行有效件数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规章</w:t>
            </w:r>
          </w:p>
        </w:tc>
        <w:tc>
          <w:tcPr>
            <w:tcW w:w="24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259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24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行政规范性文件</w:t>
            </w:r>
          </w:p>
        </w:tc>
        <w:tc>
          <w:tcPr>
            <w:tcW w:w="24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2</w:t>
            </w:r>
          </w:p>
        </w:tc>
        <w:tc>
          <w:tcPr>
            <w:tcW w:w="259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24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62</w:t>
            </w:r>
            <w:bookmarkStart w:id="0" w:name="_GoBack"/>
            <w:bookmarkEnd w:id="0"/>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行政许可</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行政处罚</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行政强制</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本年收费金额(单位:万元)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行政事业性收费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600" w:lineRule="exact"/>
        <w:ind w:left="0" w:right="0" w:firstLine="42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三、收到和处理政府信息公开申请情况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699"/>
        <w:gridCol w:w="793"/>
        <w:gridCol w:w="1820"/>
        <w:gridCol w:w="1165"/>
        <w:gridCol w:w="552"/>
        <w:gridCol w:w="428"/>
        <w:gridCol w:w="724"/>
        <w:gridCol w:w="847"/>
        <w:gridCol w:w="685"/>
        <w:gridCol w:w="65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312"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(本列数据的勾稽关系为:第一项加第二项之和,等于第三项加第四项之和)</w:t>
            </w:r>
          </w:p>
        </w:tc>
        <w:tc>
          <w:tcPr>
            <w:tcW w:w="5054"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312"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165"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自然人</w:t>
            </w:r>
          </w:p>
        </w:tc>
        <w:tc>
          <w:tcPr>
            <w:tcW w:w="3236"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法人或其他组织</w:t>
            </w:r>
          </w:p>
        </w:tc>
        <w:tc>
          <w:tcPr>
            <w:tcW w:w="65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312"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165"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商业企业</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科研机构</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社会公益组织</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法律服务机构</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w:t>
            </w:r>
          </w:p>
        </w:tc>
        <w:tc>
          <w:tcPr>
            <w:tcW w:w="65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31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一、本年新收政府信息公开申请数量</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rPr>
              <w:t> </w:t>
            </w:r>
            <w:r>
              <w:rPr>
                <w:rFonts w:hint="eastAsia" w:ascii="微软雅黑" w:hAnsi="微软雅黑" w:eastAsia="微软雅黑" w:cs="微软雅黑"/>
                <w:sz w:val="24"/>
                <w:szCs w:val="24"/>
                <w:lang w:val="en-US" w:eastAsia="zh-CN"/>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31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二、上年结转政府信息公开申请数量</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三、本年度办理结果</w:t>
            </w:r>
          </w:p>
        </w:tc>
        <w:tc>
          <w:tcPr>
            <w:tcW w:w="261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(一)予以公开</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261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(二)部分公开(区分处理的,只计这一情形,不计其他情形)</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(三)不予公开</w:t>
            </w: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1.属于国家秘密</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2.其他法律行政法规禁止公开</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3.危及“三安全一稳定”</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4.保护第三方合法权益</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5.属于三类内部事务信息</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6.属于四类过程性信息</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7.属于行政执法案卷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8.属于行政查询事项</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(四)无法提供</w:t>
            </w: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1.本机关不掌握相关政府信息</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2.没有现成信息需要另行制作</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3.补正后申请内容仍不明确</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(五)不予处理</w:t>
            </w: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1.信访举报投诉类申请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2.重复申请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3.要求提供公开出版物</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4.无正当理由大量反复申请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5.要求行政机关确认或重新出具已获取信息</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(六)其他处理</w:t>
            </w:r>
          </w:p>
        </w:tc>
        <w:tc>
          <w:tcPr>
            <w:tcW w:w="1820" w:type="dxa"/>
            <w:tcBorders>
              <w:top w:val="outset" w:color="000000" w:sz="6" w:space="0"/>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1.申请人无正当理由逾期不补正、行政机关不再处理其政府信息公开申请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1803" w:hRule="atLeast"/>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93" w:type="dxa"/>
            <w:vMerge w:val="continue"/>
            <w:tcBorders>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p>
        </w:tc>
        <w:tc>
          <w:tcPr>
            <w:tcW w:w="1820" w:type="dxa"/>
            <w:tcBorders>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60" w:lineRule="exact"/>
              <w:ind w:left="0" w:leftChars="0" w:right="0" w:rightChars="0"/>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sz w:val="24"/>
                <w:szCs w:val="24"/>
              </w:rPr>
              <w:t>2.申请人逾期未按收费通知要求交纳费用、行政机关不再处理其政府信息公开申请</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483" w:hRule="atLeast"/>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0</w:t>
            </w:r>
          </w:p>
        </w:tc>
        <w:tc>
          <w:tcPr>
            <w:tcW w:w="793" w:type="dxa"/>
            <w:vMerge w:val="continue"/>
            <w:tcBorders>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p>
        </w:tc>
        <w:tc>
          <w:tcPr>
            <w:tcW w:w="1820" w:type="dxa"/>
            <w:tcBorders>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leftChars="0" w:right="0" w:rightChars="0"/>
              <w:jc w:val="center"/>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sz w:val="24"/>
                <w:szCs w:val="24"/>
              </w:rPr>
              <w:t>3.其他</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261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(七)总计</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31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四、结转下年度继续办理</w:t>
            </w:r>
          </w:p>
        </w:tc>
        <w:tc>
          <w:tcPr>
            <w:tcW w:w="116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5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42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600" w:lineRule="exact"/>
        <w:ind w:left="0" w:right="0" w:firstLine="42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四、政府信息公开行政复议、行政诉讼情况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551"/>
        <w:gridCol w:w="551"/>
        <w:gridCol w:w="551"/>
        <w:gridCol w:w="551"/>
        <w:gridCol w:w="618"/>
        <w:gridCol w:w="518"/>
        <w:gridCol w:w="552"/>
        <w:gridCol w:w="552"/>
        <w:gridCol w:w="552"/>
        <w:gridCol w:w="577"/>
        <w:gridCol w:w="552"/>
        <w:gridCol w:w="552"/>
        <w:gridCol w:w="552"/>
        <w:gridCol w:w="552"/>
        <w:gridCol w:w="58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396"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行政复议</w:t>
            </w:r>
          </w:p>
        </w:tc>
        <w:tc>
          <w:tcPr>
            <w:tcW w:w="6636" w:type="dxa"/>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732"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328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未经复议直接起诉</w:t>
            </w:r>
          </w:p>
        </w:tc>
        <w:tc>
          <w:tcPr>
            <w:tcW w:w="334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4"/>
                <w:szCs w:val="24"/>
              </w:rPr>
            </w:pPr>
          </w:p>
        </w:tc>
        <w:tc>
          <w:tcPr>
            <w:tcW w:w="61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67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6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1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一是政府信息发布的形式还不够多样化;二是政策解读的形式较为单一。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下一步,针对政府信息公开工作不断出现的新情况、新问题，我局将增加政府信息发布的形式,通过信息公开平台、门户网站、微信、视频号等多渠道发布信息,全面提升政务公开工作水平。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六、其他需要报告的事项</w:t>
      </w:r>
    </w:p>
    <w:p>
      <w:pPr>
        <w:ind w:firstLine="320" w:firstLineChars="100"/>
      </w:pPr>
      <w:r>
        <w:rPr>
          <w:rFonts w:hint="eastAsia" w:ascii="仿宋_GB2312" w:hAnsi="仿宋_GB2312" w:eastAsia="仿宋_GB2312" w:cs="仿宋_GB2312"/>
          <w:i w:val="0"/>
          <w:iCs w:val="0"/>
          <w:caps w:val="0"/>
          <w:color w:val="auto"/>
          <w:spacing w:val="0"/>
          <w:sz w:val="32"/>
          <w:szCs w:val="32"/>
          <w:shd w:val="clear" w:fill="FFFFFF"/>
        </w:rPr>
        <w:t>本年度未收取政府信息公开信息处理费。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iOWM4ZWRkYmE0ZjRjNjNiZDM2ZmRlMDRjYWUxMWUifQ=="/>
  </w:docVars>
  <w:rsids>
    <w:rsidRoot w:val="5D1A4C28"/>
    <w:rsid w:val="03E43F40"/>
    <w:rsid w:val="057172A2"/>
    <w:rsid w:val="097D674D"/>
    <w:rsid w:val="17D8649F"/>
    <w:rsid w:val="1A6E17FE"/>
    <w:rsid w:val="20086810"/>
    <w:rsid w:val="28040FC7"/>
    <w:rsid w:val="35D23E13"/>
    <w:rsid w:val="449B13DE"/>
    <w:rsid w:val="485976BB"/>
    <w:rsid w:val="5D1A4C28"/>
    <w:rsid w:val="5DFA2350"/>
    <w:rsid w:val="67D6379C"/>
    <w:rsid w:val="6BDC3999"/>
    <w:rsid w:val="70BE64CD"/>
    <w:rsid w:val="76257DC8"/>
    <w:rsid w:val="76320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1924</Words>
  <Characters>1985</Characters>
  <Lines>0</Lines>
  <Paragraphs>0</Paragraphs>
  <TotalTime>9</TotalTime>
  <ScaleCrop>false</ScaleCrop>
  <LinksUpToDate>false</LinksUpToDate>
  <CharactersWithSpaces>1985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2022-01-14T08:30:00Z</dcterms:created>
  <dc:creator>凡心春随</dc:creator>
  <cp:lastModifiedBy>凡心春随</cp:lastModifiedBy>
  <dcterms:modified xsi:type="dcterms:W3CDTF">2024-01-12T03:54:58Z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82FAF8874A414F23974F548D3CBFD2F7_13</vt:lpwstr>
  </property>
</Properties>
</file>