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50" w:lineRule="exact"/>
        <w:ind w:left="0" w:leftChars="0" w:right="0" w:rightChars="0"/>
        <w:jc w:val="center"/>
        <w:textAlignment w:val="auto"/>
        <w:outlineLvl w:val="9"/>
        <w:rPr>
          <w:rFonts w:hint="eastAsia" w:ascii="方正小标宋简体" w:hAnsi="方正小标宋简体" w:eastAsia="方正小标宋简体" w:cs="方正小标宋简体"/>
          <w:color w:val="000000"/>
          <w:w w:val="100"/>
          <w:sz w:val="44"/>
          <w:szCs w:val="44"/>
          <w:lang w:val="en-US" w:eastAsia="zh-CN"/>
        </w:rPr>
      </w:pPr>
      <w:bookmarkStart w:id="0" w:name="_GoBack"/>
      <w:bookmarkEnd w:id="0"/>
      <w:r>
        <w:rPr>
          <w:rFonts w:hint="eastAsia" w:ascii="方正小标宋简体" w:hAnsi="方正小标宋简体" w:eastAsia="方正小标宋简体" w:cs="方正小标宋简体"/>
          <w:color w:val="000000"/>
          <w:w w:val="100"/>
          <w:sz w:val="44"/>
          <w:szCs w:val="44"/>
          <w:lang w:val="en-US" w:eastAsia="zh-CN"/>
        </w:rPr>
        <w:t>忠诚履职  实干担当</w:t>
      </w:r>
    </w:p>
    <w:p>
      <w:pPr>
        <w:keepNext w:val="0"/>
        <w:keepLines w:val="0"/>
        <w:pageBreakBefore w:val="0"/>
        <w:widowControl w:val="0"/>
        <w:kinsoku/>
        <w:wordWrap/>
        <w:overflowPunct/>
        <w:topLinePunct w:val="0"/>
        <w:autoSpaceDE/>
        <w:autoSpaceDN/>
        <w:bidi w:val="0"/>
        <w:adjustRightInd/>
        <w:snapToGrid/>
        <w:spacing w:before="0" w:beforeLines="0" w:after="0" w:afterLines="0" w:line="550" w:lineRule="exact"/>
        <w:ind w:left="0" w:leftChars="0" w:right="0" w:rightChars="0"/>
        <w:jc w:val="center"/>
        <w:textAlignment w:val="auto"/>
        <w:outlineLvl w:val="9"/>
        <w:rPr>
          <w:rFonts w:hint="eastAsia" w:ascii="方正小标宋简体" w:hAnsi="方正小标宋简体" w:eastAsia="方正小标宋简体" w:cs="方正小标宋简体"/>
          <w:color w:val="000000"/>
          <w:w w:val="100"/>
          <w:sz w:val="44"/>
          <w:szCs w:val="44"/>
          <w:lang w:val="en-US" w:eastAsia="zh-CN"/>
        </w:rPr>
      </w:pPr>
      <w:r>
        <w:rPr>
          <w:rFonts w:hint="eastAsia" w:ascii="方正小标宋简体" w:hAnsi="方正小标宋简体" w:eastAsia="方正小标宋简体" w:cs="方正小标宋简体"/>
          <w:color w:val="000000"/>
          <w:w w:val="100"/>
          <w:sz w:val="44"/>
          <w:szCs w:val="44"/>
          <w:lang w:val="en-US" w:eastAsia="zh-CN"/>
        </w:rPr>
        <w:t>奋力书写教育兴区新答卷</w:t>
      </w:r>
    </w:p>
    <w:p>
      <w:pPr>
        <w:keepNext w:val="0"/>
        <w:keepLines w:val="0"/>
        <w:pageBreakBefore w:val="0"/>
        <w:widowControl w:val="0"/>
        <w:kinsoku/>
        <w:wordWrap/>
        <w:overflowPunct/>
        <w:topLinePunct w:val="0"/>
        <w:autoSpaceDE/>
        <w:autoSpaceDN/>
        <w:bidi w:val="0"/>
        <w:adjustRightInd/>
        <w:snapToGrid/>
        <w:spacing w:before="0" w:beforeLines="0" w:after="0" w:afterLines="0" w:line="550" w:lineRule="exact"/>
        <w:ind w:left="0" w:leftChars="0" w:right="0" w:rightChars="0"/>
        <w:jc w:val="right"/>
        <w:textAlignment w:val="auto"/>
        <w:outlineLvl w:val="9"/>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lang w:val="en-US" w:eastAsia="zh-CN"/>
        </w:rPr>
        <w:t>——新建区</w:t>
      </w:r>
      <w:r>
        <w:rPr>
          <w:rFonts w:hint="eastAsia" w:ascii="仿宋_GB2312" w:hAnsi="仿宋_GB2312" w:eastAsia="仿宋_GB2312" w:cs="仿宋_GB2312"/>
          <w:color w:val="000000"/>
          <w:w w:val="90"/>
          <w:sz w:val="32"/>
          <w:szCs w:val="32"/>
          <w:lang w:eastAsia="zh-CN"/>
        </w:rPr>
        <w:t>义务教育优质均衡发展推进</w:t>
      </w:r>
      <w:r>
        <w:rPr>
          <w:rFonts w:hint="eastAsia" w:ascii="仿宋_GB2312" w:hAnsi="仿宋_GB2312" w:eastAsia="仿宋_GB2312" w:cs="仿宋_GB2312"/>
          <w:color w:val="000000"/>
          <w:w w:val="90"/>
          <w:sz w:val="32"/>
          <w:szCs w:val="32"/>
        </w:rPr>
        <w:t>情况汇报</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_GB2312" w:hAnsi="仿宋_GB2312" w:eastAsia="仿宋_GB2312" w:cs="仿宋_GB2312"/>
          <w:b w:val="0"/>
          <w:bCs w:val="0"/>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sz w:val="32"/>
          <w:szCs w:val="32"/>
        </w:rPr>
        <w:t>新建</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是人文荟萃、资源丰富的“千年古邑”，也是优势汇集、充满活力的“魅力新区”，</w:t>
      </w:r>
      <w:r>
        <w:rPr>
          <w:rFonts w:hint="eastAsia" w:ascii="仿宋_GB2312" w:hAnsi="仿宋_GB2312" w:eastAsia="仿宋_GB2312" w:cs="仿宋_GB2312"/>
          <w:sz w:val="32"/>
          <w:szCs w:val="32"/>
          <w:lang w:val="en-US" w:eastAsia="zh-CN"/>
        </w:rPr>
        <w:t>自古人文鼎盛，历代</w:t>
      </w:r>
      <w:r>
        <w:rPr>
          <w:rFonts w:hint="eastAsia" w:ascii="仿宋_GB2312" w:hAnsi="仿宋_GB2312" w:eastAsia="仿宋_GB2312" w:cs="仿宋_GB2312"/>
          <w:sz w:val="32"/>
          <w:szCs w:val="32"/>
        </w:rPr>
        <w:t>名人辈出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素有“鱼米之乡”的美称</w:t>
      </w:r>
      <w:r>
        <w:rPr>
          <w:rFonts w:hint="eastAsia" w:ascii="仿宋_GB2312" w:hAnsi="仿宋_GB2312" w:eastAsia="仿宋_GB2312" w:cs="仿宋_GB2312"/>
          <w:sz w:val="32"/>
          <w:szCs w:val="32"/>
        </w:rPr>
        <w:t>。全区行政区划面积</w:t>
      </w:r>
      <w:r>
        <w:rPr>
          <w:rFonts w:hint="eastAsia" w:ascii="仿宋_GB2312" w:hAnsi="仿宋_GB2312" w:eastAsia="仿宋_GB2312" w:cs="仿宋_GB2312"/>
          <w:sz w:val="32"/>
          <w:szCs w:val="32"/>
          <w:lang w:val="en-US" w:eastAsia="zh-CN"/>
        </w:rPr>
        <w:t>2153</w:t>
      </w:r>
      <w:r>
        <w:rPr>
          <w:rFonts w:hint="eastAsia" w:ascii="仿宋_GB2312" w:hAnsi="仿宋_GB2312" w:eastAsia="仿宋_GB2312" w:cs="仿宋_GB2312"/>
          <w:sz w:val="32"/>
          <w:szCs w:val="32"/>
        </w:rPr>
        <w:t>平方公里，常住人口81万。实际管辖面积约1609.60平方公里（原湾里区行政区域范围委托南昌市湾里管理局管辖，乐化镇、樵舍镇、</w:t>
      </w:r>
      <w:r>
        <w:rPr>
          <w:rFonts w:hint="eastAsia" w:ascii="仿宋_GB2312" w:hAnsi="仿宋_GB2312" w:eastAsia="仿宋_GB2312" w:cs="仿宋_GB2312"/>
          <w:sz w:val="32"/>
          <w:szCs w:val="32"/>
          <w:lang w:val="en-US" w:eastAsia="zh-CN"/>
        </w:rPr>
        <w:t>金桥乡3个村、</w:t>
      </w:r>
      <w:r>
        <w:rPr>
          <w:rFonts w:hint="eastAsia" w:ascii="仿宋_GB2312" w:hAnsi="仿宋_GB2312" w:eastAsia="仿宋_GB2312" w:cs="仿宋_GB2312"/>
          <w:sz w:val="32"/>
          <w:szCs w:val="32"/>
        </w:rPr>
        <w:t>新祺周管理处委托南昌经开区管委会管辖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厚田乡划为红谷滩区管辖</w:t>
      </w:r>
      <w:r>
        <w:rPr>
          <w:rFonts w:hint="eastAsia" w:ascii="仿宋_GB2312" w:hAnsi="仿宋_GB2312" w:eastAsia="仿宋_GB2312" w:cs="仿宋_GB2312"/>
          <w:sz w:val="32"/>
          <w:szCs w:val="32"/>
        </w:rPr>
        <w:t>），常住人口约62万，下辖1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个乡镇、1个省级开发区、</w:t>
      </w:r>
      <w:r>
        <w:rPr>
          <w:rFonts w:hint="eastAsia" w:ascii="仿宋_GB2312" w:hAnsi="仿宋_GB2312" w:eastAsia="仿宋_GB2312" w:cs="仿宋_GB2312"/>
          <w:sz w:val="32"/>
          <w:szCs w:val="32"/>
          <w:lang w:val="en-US" w:eastAsia="zh-CN"/>
        </w:rPr>
        <w:t>224</w:t>
      </w:r>
      <w:r>
        <w:rPr>
          <w:rFonts w:hint="eastAsia" w:ascii="仿宋_GB2312" w:hAnsi="仿宋_GB2312" w:eastAsia="仿宋_GB2312" w:cs="仿宋_GB2312"/>
          <w:sz w:val="32"/>
          <w:szCs w:val="32"/>
        </w:rPr>
        <w:t>个行政村。</w:t>
      </w:r>
      <w:r>
        <w:rPr>
          <w:rFonts w:hint="eastAsia" w:ascii="仿宋_GB2312" w:hAnsi="仿宋_GB2312" w:eastAsia="仿宋_GB2312" w:cs="仿宋_GB2312"/>
          <w:sz w:val="32"/>
          <w:szCs w:val="32"/>
          <w:lang w:val="en-US" w:eastAsia="zh-CN"/>
        </w:rPr>
        <w:t>2021年，全区共有各级各类学校241所，其中公办学校230所（含小学40所、初中14所、九年一贯制学校21</w:t>
      </w:r>
      <w:r>
        <w:rPr>
          <w:rFonts w:hint="eastAsia" w:ascii="仿宋_GB2312" w:hAnsi="仿宋_GB2312" w:eastAsia="仿宋_GB2312" w:cs="仿宋_GB2312"/>
          <w:b w:val="0"/>
          <w:bCs w:val="0"/>
          <w:color w:val="0D0D0D" w:themeColor="text1" w:themeTint="F2"/>
          <w:sz w:val="32"/>
          <w:szCs w:val="32"/>
          <w:lang w:val="en-US" w:eastAsia="zh-CN"/>
          <w14:textFill>
            <w14:solidFill>
              <w14:schemeClr w14:val="tx1">
                <w14:lumMod w14:val="95000"/>
                <w14:lumOff w14:val="5000"/>
              </w14:schemeClr>
            </w14:solidFill>
          </w14:textFill>
        </w:rPr>
        <w:t>所、完全中学3所、十二年一贯制学校1所，特殊教育学校、职业技术学校、教师发展中心各1所、农村小学教学点148所）；民办学校11所（小学1所、初中2所、九年一贯制学校5所、完全中学1所、十二年一贯制学校2所）；幼儿园110所，其中公办园64所、民办园46所。全区在校中小学生94644人（普通高中生14867人、初中生28561人、小学生50113人、职业技术学校学生925人、特校生178人），在园幼儿22729人，在编在岗教职工 5328 人，退休教职工 2495 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b/>
          <w:bCs/>
          <w:color w:val="FF0000"/>
          <w:sz w:val="32"/>
          <w:szCs w:val="32"/>
          <w:lang w:val="en-US" w:eastAsia="zh-CN"/>
        </w:rPr>
      </w:pPr>
      <w:r>
        <w:rPr>
          <w:rFonts w:hint="eastAsia" w:ascii="仿宋_GB2312" w:hAnsi="仿宋_GB2312" w:eastAsia="仿宋_GB2312" w:cs="仿宋_GB2312"/>
          <w:sz w:val="32"/>
          <w:szCs w:val="32"/>
          <w:lang w:val="en-US" w:eastAsia="zh-CN"/>
        </w:rPr>
        <w:t>新建自2015年“撤县改区”以来，全区上下万众一心、顽强拼搏，实现了“十三五”圆满收官，与全国同步全面建成小康社会，开创了新建经济社会高质量发展新局面。与此同时，区委、区政府始终坚持教育优先发展战略，持续加大教育投入、改善办学条件、强化教育管理、提升办学品质，呈现出“学前教育普及普惠发展、义务教育优质发展、普通高中多样发展、职业教育实用发展、特殊教育特色发展、民办教育规范发展”的良好态势，实现了教育发展基础与教育教学质量“双提高”，有力擦亮了“学在新建”教育品牌，于2018年顺利通过了义务教育均衡发展国家督导评估验收，国家教育督导委员会授予“全国义务教育发展基本均衡县（区、市）”，省政府授予“推进义务教育基本均衡发展积极贡献奖”；在2017年度、2019年度中全省县（市、区）党政领导干部履行教育职责督导评价中荣获“优秀县（市、区）”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2021年，全区</w:t>
      </w:r>
      <w:r>
        <w:rPr>
          <w:rFonts w:hint="eastAsia" w:ascii="仿宋_GB2312" w:hAnsi="仿宋_GB2312" w:eastAsia="仿宋_GB2312" w:cs="仿宋_GB2312"/>
          <w:sz w:val="32"/>
          <w:szCs w:val="32"/>
        </w:rPr>
        <w:t>坚持以习近平新时代中国特色社会主义思想为指导，深入贯彻落实习近平总书记“七一”重要讲话精神和视察江西重要讲话精神，紧紧围绕“作示范、勇争先”的目标要求，担当实干、攻坚克难，实现了“十四五”的高点起步、精彩开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尤其是在发展教育方面，各级党政领导干部切实履行教育职责，不忘“为党育人”初心，牢记“为国育才”使命，以对党、对国家、对未来高度负责的态度，有力推进了全区教育事业高质量跨越式发展。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一、突出党建引领，把稳“方向之盘”</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1.党建引领立教。</w:t>
      </w:r>
      <w:r>
        <w:rPr>
          <w:rFonts w:hint="eastAsia" w:ascii="仿宋_GB2312" w:hAnsi="仿宋_GB2312" w:eastAsia="仿宋_GB2312" w:cs="仿宋_GB2312"/>
          <w:sz w:val="32"/>
          <w:szCs w:val="32"/>
          <w:lang w:val="en-US" w:eastAsia="zh-CN"/>
        </w:rPr>
        <w:t>我区坚持以党建统领教育各项工作，</w:t>
      </w:r>
      <w:r>
        <w:rPr>
          <w:rFonts w:hint="eastAsia" w:ascii="仿宋_GB2312" w:eastAsia="仿宋_GB2312"/>
          <w:sz w:val="32"/>
          <w:szCs w:val="32"/>
          <w:lang w:val="en-US" w:eastAsia="zh-CN"/>
        </w:rPr>
        <w:t>区委</w:t>
      </w:r>
      <w:r>
        <w:rPr>
          <w:rFonts w:hint="eastAsia" w:ascii="仿宋_GB2312" w:hAnsi="仿宋_GB2312" w:eastAsia="仿宋_GB2312" w:cs="仿宋_GB2312"/>
          <w:sz w:val="32"/>
          <w:szCs w:val="32"/>
          <w:lang w:val="en-US" w:eastAsia="zh-CN"/>
        </w:rPr>
        <w:t>成立了教育工作领导小组，改设了区委教育体育工作委员会，全面完成学校基层组织“三化六好”建</w:t>
      </w:r>
      <w:r>
        <w:rPr>
          <w:rFonts w:hint="eastAsia" w:ascii="仿宋_GB2312" w:hAnsi="仿宋_GB2312" w:eastAsia="仿宋_GB2312" w:cs="仿宋_GB2312"/>
          <w:b w:val="0"/>
          <w:bCs w:val="0"/>
          <w:color w:val="0D0D0D" w:themeColor="text1" w:themeTint="F2"/>
          <w:sz w:val="32"/>
          <w:szCs w:val="32"/>
          <w:lang w:val="en-US" w:eastAsia="zh-CN"/>
          <w14:textFill>
            <w14:solidFill>
              <w14:schemeClr w14:val="tx1">
                <w14:lumMod w14:val="95000"/>
                <w14:lumOff w14:val="5000"/>
              </w14:schemeClr>
            </w14:solidFill>
          </w14:textFill>
        </w:rPr>
        <w:t>设，加强了民办教育党建工作，规范了84个基层党组织设置，选优配齐基层党组织班子。按照“党建带群团”的要求，规范了教体系统工会、团工委、妇工委、红十字会、关工委等群团组织建设。各学校党组织切实履行从严治党主体责任，严格落实“三会一课”等党内政治生活制度，加强1880名党员教育管理，发展新党员54名；层层压实“一岗双责”，做好从严治党的表率，以优良的政治</w:t>
      </w:r>
      <w:r>
        <w:rPr>
          <w:rFonts w:hint="eastAsia" w:ascii="仿宋_GB2312" w:hAnsi="仿宋_GB2312" w:eastAsia="仿宋_GB2312" w:cs="仿宋_GB2312"/>
          <w:sz w:val="32"/>
          <w:szCs w:val="32"/>
          <w:lang w:val="en-US" w:eastAsia="zh-CN"/>
        </w:rPr>
        <w:t>品格把稳社会主义办学方向，以风清气正的教育生态保障教育事业持续健康发展。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2.领导带头重教。</w:t>
      </w:r>
      <w:r>
        <w:rPr>
          <w:rFonts w:hint="eastAsia" w:ascii="仿宋_GB2312" w:hAnsi="仿宋_GB2312" w:eastAsia="仿宋_GB2312" w:cs="仿宋_GB2312"/>
          <w:sz w:val="32"/>
          <w:szCs w:val="32"/>
          <w:lang w:val="en-US" w:eastAsia="zh-CN"/>
        </w:rPr>
        <w:t>区委、区政府坚决贯彻落实党的教育方针政策，把发展教育事业作为民生之本、强区之基，建立了区委常委会、政府常务会定期研究教育工作的常态化机制，从顶层设计上</w:t>
      </w:r>
      <w:r>
        <w:rPr>
          <w:rFonts w:hint="eastAsia" w:ascii="仿宋_GB2312" w:eastAsia="仿宋_GB2312"/>
          <w:sz w:val="32"/>
          <w:szCs w:val="32"/>
        </w:rPr>
        <w:t>谋划教育优先发展战略</w:t>
      </w:r>
      <w:r>
        <w:rPr>
          <w:rFonts w:hint="eastAsia" w:ascii="仿宋_GB2312" w:eastAsia="仿宋_GB2312"/>
          <w:sz w:val="32"/>
          <w:szCs w:val="32"/>
          <w:lang w:eastAsia="zh-CN"/>
        </w:rPr>
        <w:t>，</w:t>
      </w:r>
      <w:r>
        <w:rPr>
          <w:rFonts w:hint="eastAsia" w:ascii="仿宋_GB2312" w:eastAsia="仿宋_GB2312"/>
          <w:sz w:val="32"/>
          <w:szCs w:val="32"/>
          <w:lang w:val="en-US" w:eastAsia="zh-CN"/>
        </w:rPr>
        <w:t>及时研究推进教育重大重点工作，破解教育发展难题</w:t>
      </w:r>
      <w:r>
        <w:rPr>
          <w:rFonts w:hint="eastAsia" w:ascii="仿宋_GB2312" w:eastAsia="仿宋_GB2312"/>
          <w:sz w:val="32"/>
          <w:szCs w:val="32"/>
          <w:lang w:eastAsia="zh-CN"/>
        </w:rPr>
        <w:t>。</w:t>
      </w:r>
      <w:r>
        <w:rPr>
          <w:rFonts w:hint="eastAsia" w:ascii="仿宋_GB2312" w:eastAsia="仿宋_GB2312"/>
          <w:sz w:val="32"/>
          <w:szCs w:val="32"/>
          <w:lang w:val="en-US" w:eastAsia="zh-CN"/>
        </w:rPr>
        <w:t>同时，</w:t>
      </w:r>
      <w:r>
        <w:rPr>
          <w:rFonts w:hint="eastAsia" w:ascii="仿宋_GB2312" w:hAnsi="仿宋_GB2312" w:eastAsia="仿宋_GB2312" w:cs="仿宋_GB2312"/>
          <w:b w:val="0"/>
          <w:bCs w:val="0"/>
          <w:color w:val="0D0D0D" w:themeColor="text1" w:themeTint="F2"/>
          <w:sz w:val="32"/>
          <w:szCs w:val="32"/>
          <w:lang w:val="en-US" w:eastAsia="zh-CN"/>
          <w14:textFill>
            <w14:solidFill>
              <w14:schemeClr w14:val="tx1">
                <w14:lumMod w14:val="95000"/>
                <w14:lumOff w14:val="5000"/>
              </w14:schemeClr>
            </w14:solidFill>
          </w14:textFill>
        </w:rPr>
        <w:t>建立了“区级领导干部联系学校制度”，全区35名区级领导全部挂点帮扶学校，区主要领导带头进校园讲思政课2次，隆重举行教</w:t>
      </w:r>
      <w:r>
        <w:rPr>
          <w:rFonts w:hint="eastAsia" w:ascii="仿宋_GB2312" w:hAnsi="仿宋_GB2312" w:eastAsia="仿宋_GB2312" w:cs="仿宋_GB2312"/>
          <w:sz w:val="32"/>
          <w:szCs w:val="32"/>
          <w:lang w:val="en-US" w:eastAsia="zh-CN"/>
        </w:rPr>
        <w:t>师节庆祝大会，各种节日区领导必定走访慰问教师代表。各乡镇、各部门均置教育于优先发展地位,责无旁贷地都担负起了教育发展的重任，全区上下关心、重视、支持教育事业氛围浓厚。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3.意识形态兴教。</w:t>
      </w:r>
      <w:r>
        <w:rPr>
          <w:rFonts w:hint="eastAsia" w:ascii="仿宋_GB2312" w:hAnsi="仿宋_GB2312" w:eastAsia="仿宋_GB2312" w:cs="仿宋_GB2312"/>
          <w:sz w:val="32"/>
          <w:szCs w:val="32"/>
          <w:lang w:val="en-US" w:eastAsia="zh-CN"/>
        </w:rPr>
        <w:t>我区高度重视意识形态工作，将教育系统列为意识形态工作的前沿阵地，以开展党史学习教育和庆祝建党100周年为契机，在全区中小学开展“学党史、跟党走”系列主题教育活动。扎实推进大中小学思政课一体化建设，先后组织了2次思政课教师业务培训，成功举办了年度思政课教师评选、思政微课大赛等活动，开展各类党史学习教育竞赛活动10余项，实现了师生参与全覆盖。坚决抵制宗教渗透和防范校园传教，举办全区教体系统意识形态暨思想政治专题培训班，切实拧紧了思想“总开关”，坚定了“听党话、感党恩、跟党走”的理想信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二、突出优先发展，筑牢“发展之基”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b w:val="0"/>
          <w:bCs w:val="0"/>
          <w:color w:val="0D0D0D" w:themeColor="text1" w:themeTint="F2"/>
          <w:sz w:val="32"/>
          <w:szCs w:val="32"/>
          <w:lang w:val="en-US" w:eastAsia="zh-CN"/>
          <w14:textFill>
            <w14:solidFill>
              <w14:schemeClr w14:val="tx1">
                <w14:lumMod w14:val="95000"/>
                <w14:lumOff w14:val="5000"/>
              </w14:schemeClr>
            </w14:solidFill>
          </w14:textFill>
        </w:rPr>
      </w:pPr>
      <w:r>
        <w:rPr>
          <w:rFonts w:hint="eastAsia" w:ascii="楷体_GB2312" w:hAnsi="楷体_GB2312" w:eastAsia="楷体_GB2312" w:cs="楷体_GB2312"/>
          <w:b/>
          <w:bCs/>
          <w:sz w:val="32"/>
          <w:szCs w:val="32"/>
          <w:lang w:val="en-US" w:eastAsia="zh-CN"/>
        </w:rPr>
        <w:t>1.大手笔“投入”。</w:t>
      </w:r>
      <w:r>
        <w:rPr>
          <w:rFonts w:hint="eastAsia" w:ascii="仿宋_GB2312" w:hAnsi="仿宋_GB2312" w:eastAsia="仿宋_GB2312" w:cs="仿宋_GB2312"/>
          <w:sz w:val="32"/>
          <w:szCs w:val="32"/>
          <w:lang w:val="en-US" w:eastAsia="zh-CN"/>
        </w:rPr>
        <w:t>我区始终坚持教育经费优先安排，严格落实“两个只增不减”要求，依法</w:t>
      </w:r>
      <w:r>
        <w:rPr>
          <w:rFonts w:hint="eastAsia" w:ascii="仿宋_GB2312" w:hAnsi="仿宋_GB2312" w:eastAsia="仿宋_GB2312" w:cs="仿宋_GB2312"/>
          <w:b w:val="0"/>
          <w:bCs w:val="0"/>
          <w:color w:val="0D0D0D" w:themeColor="text1" w:themeTint="F2"/>
          <w:sz w:val="32"/>
          <w:szCs w:val="32"/>
          <w:lang w:val="en-US" w:eastAsia="zh-CN"/>
          <w14:textFill>
            <w14:solidFill>
              <w14:schemeClr w14:val="tx1">
                <w14:lumMod w14:val="95000"/>
                <w14:lumOff w14:val="5000"/>
              </w14:schemeClr>
            </w14:solidFill>
          </w14:textFill>
        </w:rPr>
        <w:t>保障教育投入。2021年，一般公共预算教育支出17.8995亿元，同比增长0.64%；在校学生人均一般公共预算教育支出逐年增长，学前6835元（上年6648元）、普通小学13115元（上年12845元）、普通初中12288元（上年12104元）、普通高中18918元（上年18218元）；各类生均公用经费均符合省定标准（学前600元、小学650元、初中850元、特校6000元、普通高中1000元、中职3285元）。同时，加强了教育资金绩效评价，建立中小学校校舍安全保障机制，区财政预算安排400万元，专项用于校建工程前期报建等费用；预算安排2000万元，用于学前教育发展专项发展；预算安排311万元，用于保安工资；每年预算安排700万元办学绩效资金，引导鼓励各学校创先争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2.高标准“建设”。</w:t>
      </w:r>
      <w:r>
        <w:rPr>
          <w:rFonts w:hint="eastAsia" w:ascii="仿宋_GB2312" w:hAnsi="仿宋_GB2312" w:eastAsia="仿宋_GB2312" w:cs="仿宋_GB2312"/>
          <w:sz w:val="32"/>
          <w:szCs w:val="32"/>
          <w:lang w:val="en-US" w:eastAsia="zh-CN"/>
        </w:rPr>
        <w:t>2016年，我区在全市率先将教育部门列为规划委员会成员单位，并纳入了区土地招标拍卖挂牌领导小组成员单位，充分保障了城市建设中教育布点的话语权。区政府先后印发了</w:t>
      </w:r>
      <w:r>
        <w:rPr>
          <w:rFonts w:hint="eastAsia" w:ascii="仿宋_GB2312" w:hAnsi="仿宋_GB2312" w:eastAsia="仿宋_GB2312" w:cs="仿宋_GB2312"/>
          <w:b w:val="0"/>
          <w:bCs/>
          <w:color w:val="0D0D0D" w:themeColor="text1" w:themeTint="F2"/>
          <w:sz w:val="32"/>
          <w:szCs w:val="32"/>
          <w:lang w:val="en-US" w:eastAsia="zh-CN"/>
          <w14:textFill>
            <w14:solidFill>
              <w14:schemeClr w14:val="tx1">
                <w14:lumMod w14:val="95000"/>
                <w14:lumOff w14:val="5000"/>
              </w14:schemeClr>
            </w14:solidFill>
          </w14:textFill>
        </w:rPr>
        <w:t>《新建区教育布点设施专项规划（2017-2030）》《关于优先保障新建区教育用地的实施意见》《新建区城镇小区配套幼儿园专项治理工作实施方案的通知》《新建区城镇小区配套幼儿园移交操作细则的通知》等多个</w:t>
      </w:r>
      <w:r>
        <w:rPr>
          <w:rFonts w:hint="eastAsia" w:ascii="仿宋_GB2312" w:hAnsi="仿宋_GB2312" w:eastAsia="仿宋_GB2312" w:cs="仿宋_GB2312"/>
          <w:b w:val="0"/>
          <w:bCs w:val="0"/>
          <w:color w:val="0D0D0D" w:themeColor="text1" w:themeTint="F2"/>
          <w:sz w:val="32"/>
          <w:szCs w:val="32"/>
          <w:lang w:val="en-US" w:eastAsia="zh-CN"/>
          <w14:textFill>
            <w14:solidFill>
              <w14:schemeClr w14:val="tx1">
                <w14:lumMod w14:val="95000"/>
                <w14:lumOff w14:val="5000"/>
              </w14:schemeClr>
            </w14:solidFill>
          </w14:textFill>
        </w:rPr>
        <w:t>纲领性文件。2021年，投资1.1亿元的新建二中初中部、投资1.98亿元的欣悦湖学校、投资1亿元的新建经开区第二中心学校开学招生；城区3所学校提升改造工程有序推进；岭背小学被评为全省首批温馨乡村校园</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3.全方位“装备”。</w:t>
      </w:r>
      <w:r>
        <w:rPr>
          <w:rFonts w:hint="eastAsia" w:ascii="仿宋_GB2312" w:hAnsi="仿宋_GB2312" w:eastAsia="仿宋_GB2312" w:cs="仿宋_GB2312"/>
          <w:sz w:val="32"/>
          <w:szCs w:val="32"/>
          <w:lang w:val="en-US" w:eastAsia="zh-CN"/>
        </w:rPr>
        <w:t>深入推进</w:t>
      </w:r>
      <w:r>
        <w:rPr>
          <w:rFonts w:hint="eastAsia" w:ascii="仿宋_GB2312" w:hAnsi="仿宋_GB2312" w:eastAsia="仿宋_GB2312" w:cs="仿宋_GB2312"/>
          <w:b w:val="0"/>
          <w:bCs w:val="0"/>
          <w:color w:val="0D0D0D" w:themeColor="text1" w:themeTint="F2"/>
          <w:sz w:val="32"/>
          <w:szCs w:val="32"/>
          <w:lang w:val="en-US" w:eastAsia="zh-CN"/>
          <w14:textFill>
            <w14:solidFill>
              <w14:schemeClr w14:val="tx1">
                <w14:lumMod w14:val="95000"/>
                <w14:lumOff w14:val="5000"/>
              </w14:schemeClr>
            </w14:solidFill>
          </w14:textFill>
        </w:rPr>
        <w:t>智慧校园建设，投资1.8亿元，高标准装备新建城实验学校、六中附小、二中初中部、大塘中心学校、欣悦湖学校、新建经开第二中心校；如期完成高质量“班班通”建设任务，达标率100%；全区教师“赣教通”使用率95.4%，基本实现“人人通”；以政府购买服务方式，在全市率先建设县（区）级教育城域网，区财政预算每年列资260万元用于教育城域网的运行和维护，所有乡镇中心学校与村级小学实现了农村在线同步课堂教学，开课率100%；141所学校的一键报警装置、88所学校的校园安防“四个一”工程全面完成，实现了宽带网络全面覆盖，教育信息化水平全面</w:t>
      </w:r>
      <w:r>
        <w:rPr>
          <w:rFonts w:hint="eastAsia" w:ascii="仿宋_GB2312" w:hAnsi="仿宋_GB2312" w:eastAsia="仿宋_GB2312" w:cs="仿宋_GB2312"/>
          <w:sz w:val="32"/>
          <w:szCs w:val="32"/>
          <w:lang w:val="en-US" w:eastAsia="zh-CN"/>
        </w:rPr>
        <w:t>提级，校园安全管理全面升级。</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4.严要求“招生”。</w:t>
      </w:r>
      <w:r>
        <w:rPr>
          <w:rFonts w:hint="eastAsia" w:ascii="仿宋_GB2312" w:hAnsi="仿宋_GB2312" w:eastAsia="仿宋_GB2312" w:cs="仿宋_GB2312"/>
          <w:sz w:val="32"/>
          <w:szCs w:val="32"/>
          <w:lang w:val="en-US" w:eastAsia="zh-CN"/>
        </w:rPr>
        <w:t>为有效化解“大班额”，一方面，加快城区学校建设，从根本上解决学位紧缺问题；另一方面，推进城乡教育集团化发展，做大做强乡镇中心学校，从源头上遏制盲目进城读书现象。同时，坚持“就近、划片、免试”入学的原则，科学调整城区学校招生地段，加大招生政策宣传，房管、公安等部门积极配合教育部门，严格审查房产和户口，严肃招生纪律，严禁招收低龄生。采取“大兵团”作战方式，实行全区招生“一盘棋”，统一调配空余学位。</w:t>
      </w:r>
      <w:r>
        <w:rPr>
          <w:rFonts w:hint="eastAsia" w:ascii="仿宋_GB2312" w:hAnsi="仿宋_GB2312" w:eastAsia="仿宋_GB2312" w:cs="仿宋_GB2312"/>
          <w:b w:val="0"/>
          <w:bCs w:val="0"/>
          <w:color w:val="0D0D0D" w:themeColor="text1" w:themeTint="F2"/>
          <w:sz w:val="32"/>
          <w:szCs w:val="32"/>
          <w:lang w:val="en-US" w:eastAsia="zh-CN"/>
          <w14:textFill>
            <w14:solidFill>
              <w14:schemeClr w14:val="tx1">
                <w14:lumMod w14:val="95000"/>
                <w14:lumOff w14:val="5000"/>
              </w14:schemeClr>
            </w14:solidFill>
          </w14:textFill>
        </w:rPr>
        <w:t>目前，全区小学一至三年级、初中所有年级和高中所有年级班额分别控制在45人、50人、55人以内，其他年级除1所学校尚有23个65人以内的大班额外，班额均严格控制在55人以内。我区化解“大班</w:t>
      </w:r>
      <w:r>
        <w:rPr>
          <w:rFonts w:hint="eastAsia" w:ascii="仿宋_GB2312" w:hAnsi="仿宋_GB2312" w:eastAsia="仿宋_GB2312" w:cs="仿宋_GB2312"/>
          <w:b w:val="0"/>
          <w:bCs/>
          <w:color w:val="0D0D0D" w:themeColor="text1" w:themeTint="F2"/>
          <w:sz w:val="32"/>
          <w:szCs w:val="32"/>
          <w:lang w:val="en-US" w:eastAsia="zh-CN"/>
          <w14:textFill>
            <w14:solidFill>
              <w14:schemeClr w14:val="tx1">
                <w14:lumMod w14:val="95000"/>
                <w14:lumOff w14:val="5000"/>
              </w14:schemeClr>
            </w14:solidFill>
          </w14:textFill>
        </w:rPr>
        <w:t>额”工作，曾作为典型经验在全市相关会议交流。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b/>
          <w:bCs/>
          <w:sz w:val="32"/>
          <w:szCs w:val="32"/>
          <w:lang w:val="en-US" w:eastAsia="zh-CN"/>
        </w:rPr>
        <w:t>三、突出立德树人，培养“栋梁之才”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1.立德树人强信念。</w:t>
      </w:r>
      <w:r>
        <w:rPr>
          <w:rFonts w:hint="eastAsia" w:ascii="仿宋_GB2312" w:hAnsi="仿宋_GB2312" w:eastAsia="仿宋_GB2312" w:cs="仿宋_GB2312"/>
          <w:sz w:val="32"/>
          <w:szCs w:val="32"/>
          <w:lang w:val="en-US" w:eastAsia="zh-CN"/>
        </w:rPr>
        <w:t>我区始终坚持“育人为本、德育为先”，以庆祝建党100周年为契机，以经典诵读竞赛献礼建党百年，以宣讲报告传承红色基因，以线上诵读传播红色声音，以观看红色电影、举办艺术节、社会实践等方式开展理想信念教育，以作品创作方式表达爱党之情。开展了首届新建区“新时代好少年”评比，在省、市各项主题学习实践等活动中，300余名学生获奖。实验小学红色读书分享会在人民日报报道，溪霞中心小学《红星照耀中国》视频在新华社、省教育厅等主流媒体宣传推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2.五育并举提素养。</w:t>
      </w:r>
      <w:r>
        <w:rPr>
          <w:rFonts w:hint="eastAsia" w:ascii="仿宋_GB2312" w:hAnsi="仿宋_GB2312" w:eastAsia="仿宋_GB2312" w:cs="仿宋_GB2312"/>
          <w:sz w:val="32"/>
          <w:szCs w:val="32"/>
          <w:lang w:val="en-US" w:eastAsia="zh-CN"/>
        </w:rPr>
        <w:t xml:space="preserve">我区以培育德智体劳全面发展的合格社会主义建设者和接班人为总目标，抓紧抓实课堂教学主阵地，通过“晒课表”等方式，促进学校开齐开足国家课程；大力推进“体教融合”发展，组建了11个体育项目运动队，举行了中小学生篮球、乒乓球、足球、羽毛球运动会，组织了“室内操”“大课间”系列展示活动，举办“魅力校园”艺术节，创建劳动教育示范基地，通过大合唱、手抄报、非遗文化、书画、微视频、征文、提案征集等形式促进学生综合素养提升。认真做好近视防控、体育健康监测等工作，学生近视筛查率、体质健康监测上报率均达100%。在全省快乐体操比赛中，我区3所学校获得4个一等奖，1000余名学生参加上级素质竞赛获得奖项，区三中挂牌全省劳动教育特色学校，区二中钱翠平老师执教的劳动教育课获全省第一名。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3.减负增效促健康。</w:t>
      </w:r>
      <w:r>
        <w:rPr>
          <w:rFonts w:hint="eastAsia" w:ascii="仿宋_GB2312" w:hAnsi="仿宋_GB2312" w:eastAsia="仿宋_GB2312" w:cs="仿宋_GB2312"/>
          <w:sz w:val="32"/>
          <w:szCs w:val="32"/>
          <w:lang w:val="en-US" w:eastAsia="zh-CN"/>
        </w:rPr>
        <w:t>我区把落实“双减”“五项管理”政策作为教育工作的一项政治任务，</w:t>
      </w:r>
      <w:r>
        <w:rPr>
          <w:rFonts w:hint="eastAsia" w:ascii="仿宋_GB2312" w:hAnsi="仿宋_GB2312" w:eastAsia="仿宋_GB2312" w:cs="仿宋_GB2312"/>
          <w:b w:val="0"/>
          <w:bCs w:val="0"/>
          <w:color w:val="0D0D0D" w:themeColor="text1" w:themeTint="F2"/>
          <w:sz w:val="32"/>
          <w:szCs w:val="32"/>
          <w:lang w:eastAsia="zh-CN"/>
          <w14:textFill>
            <w14:solidFill>
              <w14:schemeClr w14:val="tx1">
                <w14:lumMod w14:val="95000"/>
                <w14:lumOff w14:val="5000"/>
              </w14:schemeClr>
            </w14:solidFill>
          </w14:textFill>
        </w:rPr>
        <w:t>成立</w:t>
      </w:r>
      <w:r>
        <w:rPr>
          <w:rFonts w:hint="eastAsia" w:ascii="仿宋_GB2312" w:hAnsi="仿宋_GB2312" w:eastAsia="仿宋_GB2312" w:cs="仿宋_GB2312"/>
          <w:b w:val="0"/>
          <w:bCs w:val="0"/>
          <w:color w:val="0D0D0D" w:themeColor="text1" w:themeTint="F2"/>
          <w:sz w:val="32"/>
          <w:szCs w:val="32"/>
          <w:lang w:val="en-US" w:eastAsia="zh-CN"/>
          <w14:textFill>
            <w14:solidFill>
              <w14:schemeClr w14:val="tx1">
                <w14:lumMod w14:val="95000"/>
                <w14:lumOff w14:val="5000"/>
              </w14:schemeClr>
            </w14:solidFill>
          </w14:textFill>
        </w:rPr>
        <w:t>了</w:t>
      </w:r>
      <w:r>
        <w:rPr>
          <w:rFonts w:hint="eastAsia" w:ascii="仿宋_GB2312" w:hAnsi="仿宋_GB2312" w:eastAsia="仿宋_GB2312" w:cs="仿宋_GB2312"/>
          <w:b w:val="0"/>
          <w:bCs w:val="0"/>
          <w:color w:val="0D0D0D" w:themeColor="text1" w:themeTint="F2"/>
          <w:sz w:val="32"/>
          <w:szCs w:val="32"/>
          <w:lang w:eastAsia="zh-CN"/>
          <w14:textFill>
            <w14:solidFill>
              <w14:schemeClr w14:val="tx1">
                <w14:lumMod w14:val="95000"/>
                <w14:lumOff w14:val="5000"/>
              </w14:schemeClr>
            </w14:solidFill>
          </w14:textFill>
        </w:rPr>
        <w:t>工作领导小组，</w:t>
      </w:r>
      <w:r>
        <w:rPr>
          <w:rFonts w:hint="eastAsia" w:ascii="仿宋_GB2312" w:hAnsi="仿宋_GB2312" w:eastAsia="仿宋_GB2312" w:cs="仿宋_GB2312"/>
          <w:b w:val="0"/>
          <w:bCs w:val="0"/>
          <w:color w:val="0D0D0D" w:themeColor="text1" w:themeTint="F2"/>
          <w:sz w:val="32"/>
          <w:szCs w:val="32"/>
          <w:lang w:val="en-US" w:eastAsia="zh-CN"/>
          <w14:textFill>
            <w14:solidFill>
              <w14:schemeClr w14:val="tx1">
                <w14:lumMod w14:val="95000"/>
                <w14:lumOff w14:val="5000"/>
              </w14:schemeClr>
            </w14:solidFill>
          </w14:textFill>
        </w:rPr>
        <w:t>制定了工作</w:t>
      </w:r>
      <w:r>
        <w:rPr>
          <w:rFonts w:hint="eastAsia" w:ascii="仿宋_GB2312" w:hAnsi="仿宋_GB2312" w:eastAsia="仿宋_GB2312" w:cs="仿宋_GB2312"/>
          <w:b w:val="0"/>
          <w:bCs w:val="0"/>
          <w:color w:val="0D0D0D" w:themeColor="text1" w:themeTint="F2"/>
          <w:sz w:val="32"/>
          <w:szCs w:val="32"/>
          <w:lang w:eastAsia="zh-CN"/>
          <w14:textFill>
            <w14:solidFill>
              <w14:schemeClr w14:val="tx1">
                <w14:lumMod w14:val="95000"/>
                <w14:lumOff w14:val="5000"/>
              </w14:schemeClr>
            </w14:solidFill>
          </w14:textFill>
        </w:rPr>
        <w:t>方案，</w:t>
      </w:r>
      <w:r>
        <w:rPr>
          <w:rFonts w:hint="eastAsia" w:ascii="仿宋_GB2312" w:hAnsi="仿宋_GB2312" w:eastAsia="仿宋_GB2312" w:cs="仿宋_GB2312"/>
          <w:b w:val="0"/>
          <w:bCs w:val="0"/>
          <w:color w:val="0D0D0D" w:themeColor="text1" w:themeTint="F2"/>
          <w:sz w:val="32"/>
          <w:szCs w:val="32"/>
          <w:lang w:val="en-US" w:eastAsia="zh-CN"/>
          <w14:textFill>
            <w14:solidFill>
              <w14:schemeClr w14:val="tx1">
                <w14:lumMod w14:val="95000"/>
                <w14:lumOff w14:val="5000"/>
              </w14:schemeClr>
            </w14:solidFill>
          </w14:textFill>
        </w:rPr>
        <w:t>压实了部门责任，建立了</w:t>
      </w:r>
      <w:r>
        <w:rPr>
          <w:rFonts w:hint="eastAsia" w:ascii="仿宋_GB2312" w:hAnsi="仿宋_GB2312" w:eastAsia="仿宋_GB2312" w:cs="仿宋_GB2312"/>
          <w:b w:val="0"/>
          <w:bCs w:val="0"/>
          <w:color w:val="0D0D0D" w:themeColor="text1" w:themeTint="F2"/>
          <w:sz w:val="32"/>
          <w:szCs w:val="32"/>
          <w:lang w:eastAsia="zh-CN"/>
          <w14:textFill>
            <w14:solidFill>
              <w14:schemeClr w14:val="tx1">
                <w14:lumMod w14:val="95000"/>
                <w14:lumOff w14:val="5000"/>
              </w14:schemeClr>
            </w14:solidFill>
          </w14:textFill>
        </w:rPr>
        <w:t>联席会议制度</w:t>
      </w:r>
      <w:r>
        <w:rPr>
          <w:rFonts w:hint="eastAsia" w:ascii="仿宋_GB2312" w:hAnsi="仿宋_GB2312" w:eastAsia="仿宋_GB2312" w:cs="仿宋_GB2312"/>
          <w:b w:val="0"/>
          <w:bCs w:val="0"/>
          <w:color w:val="0D0D0D" w:themeColor="text1" w:themeTint="F2"/>
          <w:sz w:val="32"/>
          <w:szCs w:val="32"/>
          <w:lang w:val="en-US" w:eastAsia="zh-CN"/>
          <w14:textFill>
            <w14:solidFill>
              <w14:schemeClr w14:val="tx1">
                <w14:lumMod w14:val="95000"/>
                <w14:lumOff w14:val="5000"/>
              </w14:schemeClr>
            </w14:solidFill>
          </w14:textFill>
        </w:rPr>
        <w:t>，组建了3个工作专班，</w:t>
      </w:r>
      <w:r>
        <w:rPr>
          <w:rFonts w:hint="eastAsia" w:ascii="仿宋_GB2312" w:hAnsi="仿宋_GB2312" w:eastAsia="仿宋_GB2312" w:cs="仿宋_GB2312"/>
          <w:b w:val="0"/>
          <w:bCs w:val="0"/>
          <w:color w:val="0D0D0D" w:themeColor="text1" w:themeTint="F2"/>
          <w:sz w:val="32"/>
          <w:szCs w:val="32"/>
          <w:lang w:eastAsia="zh-CN"/>
          <w14:textFill>
            <w14:solidFill>
              <w14:schemeClr w14:val="tx1">
                <w14:lumMod w14:val="95000"/>
                <w14:lumOff w14:val="5000"/>
              </w14:schemeClr>
            </w14:solidFill>
          </w14:textFill>
        </w:rPr>
        <w:t>常态化</w:t>
      </w:r>
      <w:r>
        <w:rPr>
          <w:rFonts w:hint="eastAsia" w:ascii="仿宋_GB2312" w:hAnsi="仿宋_GB2312" w:eastAsia="仿宋_GB2312" w:cs="仿宋_GB2312"/>
          <w:b w:val="0"/>
          <w:bCs w:val="0"/>
          <w:color w:val="0D0D0D" w:themeColor="text1" w:themeTint="F2"/>
          <w:sz w:val="32"/>
          <w:szCs w:val="32"/>
          <w:lang w:val="en-US" w:eastAsia="zh-CN"/>
          <w14:textFill>
            <w14:solidFill>
              <w14:schemeClr w14:val="tx1">
                <w14:lumMod w14:val="95000"/>
                <w14:lumOff w14:val="5000"/>
              </w14:schemeClr>
            </w14:solidFill>
          </w14:textFill>
        </w:rPr>
        <w:t>开展明察暗访。</w:t>
      </w:r>
      <w:r>
        <w:rPr>
          <w:rFonts w:hint="eastAsia" w:ascii="仿宋_GB2312" w:hAnsi="仿宋_GB2312" w:eastAsia="仿宋_GB2312" w:cs="仿宋_GB2312"/>
          <w:b w:val="0"/>
          <w:bCs w:val="0"/>
          <w:color w:val="0D0D0D" w:themeColor="text1" w:themeTint="F2"/>
          <w:sz w:val="32"/>
          <w:szCs w:val="32"/>
          <w:lang w:eastAsia="zh-CN"/>
          <w14:textFill>
            <w14:solidFill>
              <w14:schemeClr w14:val="tx1">
                <w14:lumMod w14:val="95000"/>
                <w14:lumOff w14:val="5000"/>
              </w14:schemeClr>
            </w14:solidFill>
          </w14:textFill>
        </w:rPr>
        <w:t>《南昌市新建区校外培训机构联合监管责任清单的通知》</w:t>
      </w:r>
      <w:r>
        <w:rPr>
          <w:rFonts w:hint="eastAsia" w:ascii="仿宋_GB2312" w:hAnsi="仿宋_GB2312" w:eastAsia="仿宋_GB2312" w:cs="仿宋_GB2312"/>
          <w:sz w:val="32"/>
          <w:szCs w:val="32"/>
          <w:lang w:val="en-US" w:eastAsia="zh-CN"/>
        </w:rPr>
        <w:t>。在校内突出“三提并举”，一是提高课堂教学效率，修订出台了新中小学教学常规；二是提高作业管理水平，举办了高质量作业设计与管理培训班和相关竞赛活动；三是提高课后服务水平，按照两个“全覆盖”原则，全区7万余名学生、4500余名教师参与了课后服务，开设了各类兴趣社团活动，让学生课后“有人管”“管得好”。在校外突出“疏堵结合”，组建专班，集中办公，重拳打击，常态治理，统筹兼顾，稳妥善后，打好宣传战、突击战、人民战、歼灭战。截止目前，</w:t>
      </w:r>
      <w:r>
        <w:rPr>
          <w:rFonts w:hint="eastAsia" w:ascii="仿宋_GB2312" w:hAnsi="仿宋_GB2312" w:eastAsia="仿宋_GB2312" w:cs="仿宋_GB2312"/>
          <w:b w:val="0"/>
          <w:bCs w:val="0"/>
          <w:i w:val="0"/>
          <w:iCs w:val="0"/>
          <w:sz w:val="32"/>
          <w:szCs w:val="32"/>
          <w:lang w:val="en-US" w:eastAsia="zh-CN"/>
        </w:rPr>
        <w:t>义务教育学科类机构压减率、“营转非”、无证机构关停率和培训机构资金银行监管率都达到了100%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color w:val="auto"/>
          <w:sz w:val="32"/>
          <w:szCs w:val="32"/>
          <w:lang w:val="en-US" w:eastAsia="zh-CN"/>
        </w:rPr>
        <w:t>竞晖学校创作的“双减”快板歌在“学习强国”平台报道，我区创作的“五项管理”之歌在教育部教育督导局公众号宣传推广。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
          <w:bCs/>
          <w:sz w:val="32"/>
          <w:szCs w:val="32"/>
          <w:lang w:val="en-US" w:eastAsia="zh-CN"/>
        </w:rPr>
        <w:t xml:space="preserve">  四、突出人才强教，激活“动力之源”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b/>
          <w:bCs/>
          <w:sz w:val="32"/>
          <w:szCs w:val="32"/>
          <w:lang w:val="en-US" w:eastAsia="zh-CN"/>
        </w:rPr>
        <w:t>1.多渠道引才。</w:t>
      </w:r>
      <w:r>
        <w:rPr>
          <w:rFonts w:hint="eastAsia" w:ascii="仿宋_GB2312" w:hAnsi="仿宋_GB2312" w:eastAsia="仿宋_GB2312" w:cs="仿宋_GB2312"/>
          <w:sz w:val="32"/>
          <w:szCs w:val="32"/>
          <w:lang w:val="en-US" w:eastAsia="zh-CN"/>
        </w:rPr>
        <w:t>教育大计，教师为本。我区坚持“人才强教”战略，按标准配足配齐中小幼教师。建立了教师编制动态管理机制，严防“有编不补”现象。2021年，全区新增教师225名，其中定向分配师范毕业生55名，为普通高中学校引进、安排免公费师范生31名，招聘特岗教师59名。此外，实施“定向培养乡村教师计划”38名，有效优化了教师队伍结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b/>
          <w:bCs/>
          <w:sz w:val="32"/>
          <w:szCs w:val="32"/>
          <w:lang w:val="en-US" w:eastAsia="zh-CN"/>
        </w:rPr>
        <w:t xml:space="preserve">  2.高质量育才。</w:t>
      </w:r>
      <w:r>
        <w:rPr>
          <w:rFonts w:hint="eastAsia" w:ascii="仿宋_GB2312" w:hAnsi="仿宋_GB2312" w:eastAsia="仿宋_GB2312" w:cs="仿宋_GB2312"/>
          <w:sz w:val="32"/>
          <w:szCs w:val="32"/>
          <w:lang w:val="en-US" w:eastAsia="zh-CN"/>
        </w:rPr>
        <w:t>区财政安排教师培训专项经费575万元，支出379万余元，占生均公用经费的6.08%；全面推进教师培训学分管理，年培训5000余人次；多平台锻炼提高，搭建了“园丁杯”教学竞赛等交流成长平台，完成全区64节国家基础教育精品课拍摄及上传任务，获奖数量列全市第二。2人获国家级荣誉、3人获评省级荣誉、4人荣获全市“年度教师”和“洪城学师”称号，均实现历史性突破。遴选优秀教师参加各类省市级比赛活动，获奖人次达300余次。溪霞赤海小学李瑶，当选2021年下半年“江西好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3.严要求管才。</w:t>
      </w:r>
      <w:r>
        <w:rPr>
          <w:rFonts w:hint="eastAsia" w:ascii="仿宋_GB2312" w:hAnsi="仿宋_GB2312" w:eastAsia="仿宋_GB2312" w:cs="仿宋_GB2312"/>
          <w:sz w:val="32"/>
          <w:szCs w:val="32"/>
          <w:lang w:val="en-US" w:eastAsia="zh-CN"/>
        </w:rPr>
        <w:t>坚持师德首位意识，常态化落实落细新时代教师职业行为十项准则，开展“牢记初心使命、潜心教书育人”师德师风主题教育活动，举办了新高考改革、新任教师等培训和教师素养大赛、各学科教学竞赛等活动。结合“转作风优环境”“创新管理年”“三大行动”“双减”和公职人员违规开办企业大清查工作，坚决查处“三违”等侵害群众利益行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4.优待遇留才。</w:t>
      </w:r>
      <w:r>
        <w:rPr>
          <w:rFonts w:hint="eastAsia" w:ascii="仿宋_GB2312" w:hAnsi="仿宋_GB2312" w:eastAsia="仿宋_GB2312" w:cs="仿宋_GB2312"/>
          <w:sz w:val="32"/>
          <w:szCs w:val="32"/>
          <w:lang w:val="en-US" w:eastAsia="zh-CN"/>
        </w:rPr>
        <w:t>区政府把义务教育教师工资收入的落实纳入民生工程的总体布局，纳入领导班子工作目标考核，同时，高标准落实了边远农村教师津贴和乡镇补贴，真正实现了义务教育教师平均工资收入水平不低于当地公务员平均工资收入水平总体目标；实施乡村教师职称“定向评价、定向使用”改革，在职称评审中向乡村教师予以倾斜，做到了以感情留人、待遇留人、事业留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五、突出管理创新，提升“办学之效”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1.严密防范抓安全。</w:t>
      </w:r>
      <w:r>
        <w:rPr>
          <w:rFonts w:hint="eastAsia" w:ascii="仿宋_GB2312" w:hAnsi="仿宋_GB2312" w:eastAsia="仿宋_GB2312" w:cs="仿宋_GB2312"/>
          <w:sz w:val="32"/>
          <w:szCs w:val="32"/>
          <w:lang w:val="en-US" w:eastAsia="zh-CN"/>
        </w:rPr>
        <w:t>实施“花朵护卫”工程，为88所学校、幼儿园安装了“四个一”工程，全区校园安防设施建设“三个百分之百”全面完成；成立新建区校园安全专业委员会，建立了政府多部门共同参与的学校安全风险防控体系，聘请法院、检察院100余人担任学校法治副校长、法治辅导员和法治督学；定期开展校园周边环境综合治理，常态化开展防溺水、防欺凌、消防、校车安全、食品卫生安全等各类安全隐患排查治理，全年未发生校内重大安全事故；健全联防联控工作机制，举办传染病防控专题培训班，常态化落实新冠疫情防控要求，扎实做好疫苗接种、全员核酸适时检测等工作，确保了全区师生无一人感染；高度重视心理健康教育，联合团区委、妇联等多部门开展健康教育讲座，共同促进学生身心健康发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2.严格规范抓帮扶。</w:t>
      </w:r>
      <w:r>
        <w:rPr>
          <w:rFonts w:hint="eastAsia" w:ascii="仿宋_GB2312" w:hAnsi="仿宋_GB2312" w:eastAsia="仿宋_GB2312" w:cs="仿宋_GB2312"/>
          <w:sz w:val="32"/>
          <w:szCs w:val="32"/>
          <w:lang w:val="en-US" w:eastAsia="zh-CN"/>
        </w:rPr>
        <w:t>扎实推进脱贫攻坚同乡村振兴有效衔接工作，全年资助家庭经济困难学生1.6万人次，发放各类资助金970余万元；为1481人次办理生源地信用助学贷款1279万余元；向3031人次建档立卡已脱贫户家庭学生发放各类资助金174.19万元；积极拓展教育帮扶渠道，开展新建二中桃李教育发展协会助学金、大塘助学兴教基金、程红根奖学金、元亨祥励志奖学金、熊诚教育基金等活动，正在谋划推进成立新建区教育发展基金会，各界关心支持教育氛围异常浓厚；大力开展“推普”助力乡村振兴工作，积极创建语言文字示范校，选派师生参加市级以上诵读、汉字书写比赛100余人获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3.严明纪律抓招考。</w:t>
      </w:r>
      <w:r>
        <w:rPr>
          <w:rFonts w:hint="eastAsia" w:ascii="仿宋_GB2312" w:hAnsi="仿宋_GB2312" w:eastAsia="仿宋_GB2312" w:cs="仿宋_GB2312"/>
          <w:sz w:val="32"/>
          <w:szCs w:val="32"/>
          <w:lang w:val="en-US" w:eastAsia="zh-CN"/>
        </w:rPr>
        <w:t>以事业单位机构改革为契机，成立了新建区教育考试中心，参照市教育考试院内设机构，批设了5个股室，配齐了编制，有力保障了机构高效运行；以高考综合改革为契机，积极推进新课程、新教材改革，成立高考综合改革领导小组，举办高考综合改革宣讲培训会，加强了标准化考点和保密室的建设、配套、管理和应用，建立健全了各类考试科学规范的考务管理制度，在常态化做好中考、高考、学考、成考、自考等组考工作的基础上，高质量完成了市考试院等部门交办的重要考试任务，做到了全年各类考试零差错、零失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b w:val="0"/>
          <w:bCs w:val="0"/>
          <w:color w:val="0D0D0D" w:themeColor="text1" w:themeTint="F2"/>
          <w:sz w:val="32"/>
          <w:szCs w:val="32"/>
          <w:lang w:val="en-US" w:eastAsia="zh-CN"/>
          <w14:textFill>
            <w14:solidFill>
              <w14:schemeClr w14:val="tx1">
                <w14:lumMod w14:val="95000"/>
                <w14:lumOff w14:val="5000"/>
              </w14:schemeClr>
            </w14:solidFill>
          </w14:textFill>
        </w:rPr>
      </w:pPr>
      <w:r>
        <w:rPr>
          <w:rFonts w:hint="eastAsia" w:ascii="楷体_GB2312" w:hAnsi="楷体_GB2312" w:eastAsia="楷体_GB2312" w:cs="楷体_GB2312"/>
          <w:b/>
          <w:bCs/>
          <w:sz w:val="32"/>
          <w:szCs w:val="32"/>
          <w:lang w:val="en-US" w:eastAsia="zh-CN"/>
        </w:rPr>
        <w:t>4.严肃认真抓督导。</w:t>
      </w:r>
      <w:r>
        <w:rPr>
          <w:rFonts w:hint="eastAsia" w:ascii="仿宋_GB2312" w:hAnsi="仿宋_GB2312" w:eastAsia="仿宋_GB2312" w:cs="仿宋_GB2312"/>
          <w:sz w:val="32"/>
          <w:szCs w:val="32"/>
          <w:lang w:val="en-US" w:eastAsia="zh-CN"/>
        </w:rPr>
        <w:t>认真贯彻新时代教育督导体制机制改革精神，制定出台了《新建区人民政府教育督导委员会工作规程》《新建区责任督学考核与管理办法》《新建区学校（幼儿园）办学绩效考核实施方案》等文件。深入推进责</w:t>
      </w:r>
      <w:r>
        <w:rPr>
          <w:rFonts w:hint="eastAsia" w:ascii="仿宋_GB2312" w:hAnsi="仿宋_GB2312" w:eastAsia="仿宋_GB2312" w:cs="仿宋_GB2312"/>
          <w:b w:val="0"/>
          <w:bCs w:val="0"/>
          <w:color w:val="0D0D0D" w:themeColor="text1" w:themeTint="F2"/>
          <w:sz w:val="32"/>
          <w:szCs w:val="32"/>
          <w:lang w:val="en-US" w:eastAsia="zh-CN"/>
          <w14:textFill>
            <w14:solidFill>
              <w14:schemeClr w14:val="tx1">
                <w14:lumMod w14:val="95000"/>
                <w14:lumOff w14:val="5000"/>
              </w14:schemeClr>
            </w14:solidFill>
          </w14:textFill>
        </w:rPr>
        <w:t>任督学挂牌督导工作，聘任第二届责任督学65人，印制责任督学工作手册、实地督导手册、《教育督导问责办法》等学习材料，举办了督学培训班，结合“双减”“五项管理”等重点工作，常态化开展督导工作，实现了91所中小学、110所幼儿园责任督学挂牌督导的全覆盖；认真开展办学绩效考核评估，对获得优秀等次的11所学校（园）进行了表彰奖励；区财政预算安排教育督导专项经费120万元，全部用于教育督导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六、突出统筹兼顾，彰显“协调之美”</w:t>
      </w:r>
    </w:p>
    <w:p>
      <w:pPr>
        <w:pStyle w:val="2"/>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b w:val="0"/>
          <w:bCs w:val="0"/>
          <w:color w:val="0D0D0D" w:themeColor="text1" w:themeTint="F2"/>
          <w:kern w:val="2"/>
          <w:sz w:val="32"/>
          <w:szCs w:val="32"/>
          <w:lang w:val="en-US" w:eastAsia="zh-CN" w:bidi="ar-SA"/>
          <w14:textFill>
            <w14:solidFill>
              <w14:schemeClr w14:val="tx1">
                <w14:lumMod w14:val="95000"/>
                <w14:lumOff w14:val="5000"/>
              </w14:schemeClr>
            </w14:solidFill>
          </w14:textFill>
        </w:rPr>
      </w:pPr>
      <w:r>
        <w:rPr>
          <w:rFonts w:hint="eastAsia" w:ascii="楷体_GB2312" w:hAnsi="楷体_GB2312" w:eastAsia="楷体_GB2312" w:cs="楷体_GB2312"/>
          <w:b/>
          <w:bCs/>
          <w:kern w:val="2"/>
          <w:sz w:val="32"/>
          <w:szCs w:val="32"/>
          <w:lang w:val="en-US" w:eastAsia="zh-CN" w:bidi="ar-SA"/>
        </w:rPr>
        <w:t>1.义务教育优质发展。</w:t>
      </w:r>
      <w:r>
        <w:rPr>
          <w:rFonts w:hint="eastAsia" w:ascii="仿宋_GB2312" w:hAnsi="仿宋_GB2312" w:eastAsia="仿宋_GB2312" w:cs="仿宋_GB2312"/>
          <w:b w:val="0"/>
          <w:bCs w:val="0"/>
          <w:color w:val="0D0D0D" w:themeColor="text1" w:themeTint="F2"/>
          <w:kern w:val="2"/>
          <w:sz w:val="32"/>
          <w:szCs w:val="32"/>
          <w:lang w:val="en-US" w:eastAsia="zh-CN" w:bidi="ar-SA"/>
          <w14:textFill>
            <w14:solidFill>
              <w14:schemeClr w14:val="tx1">
                <w14:lumMod w14:val="95000"/>
                <w14:lumOff w14:val="5000"/>
              </w14:schemeClr>
            </w14:solidFill>
          </w14:textFill>
        </w:rPr>
        <w:t>坚持城、乡“双轮驱动”，从网点布局、投入保障、队伍建设、质量与管理等方面全力推进义务教育均衡发展，继顺利通过义务教育基本均衡督导评估国家验收后，建成了3所新校，成功化解了义务教育学校“大班额”难题。狠抓控辍保学工作，积极组织学习宣传教育法，完善控辍保学“双线”责任制，区政府向各乡镇下达了控辍保学责任书，确保了上学路上“一个不少”。以落实“双减”“五项管理”为契机，狠抓课堂教学改革，大力发展学生社团，广泛开展课后服务，改革评价体制机制，让学生在轻松、愉悦的环境中健康成长、全面发展。</w:t>
      </w:r>
    </w:p>
    <w:p>
      <w:pPr>
        <w:pStyle w:val="2"/>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b w:val="0"/>
          <w:bCs w:val="0"/>
          <w:color w:val="0D0D0D" w:themeColor="text1" w:themeTint="F2"/>
          <w:kern w:val="2"/>
          <w:sz w:val="32"/>
          <w:szCs w:val="32"/>
          <w:lang w:val="en-US" w:eastAsia="zh-CN" w:bidi="ar-SA"/>
          <w14:textFill>
            <w14:solidFill>
              <w14:schemeClr w14:val="tx1">
                <w14:lumMod w14:val="95000"/>
                <w14:lumOff w14:val="5000"/>
              </w14:schemeClr>
            </w14:solidFill>
          </w14:textFill>
        </w:rPr>
      </w:pPr>
      <w:r>
        <w:rPr>
          <w:rFonts w:hint="eastAsia" w:ascii="楷体_GB2312" w:hAnsi="楷体_GB2312" w:eastAsia="楷体_GB2312" w:cs="楷体_GB2312"/>
          <w:b/>
          <w:bCs/>
          <w:kern w:val="2"/>
          <w:sz w:val="32"/>
          <w:szCs w:val="32"/>
          <w:lang w:val="en-US" w:eastAsia="zh-CN" w:bidi="ar-SA"/>
        </w:rPr>
        <w:t>2.高中教育多样发展。</w:t>
      </w:r>
      <w:r>
        <w:rPr>
          <w:rFonts w:hint="eastAsia" w:ascii="仿宋_GB2312" w:hAnsi="仿宋_GB2312" w:eastAsia="仿宋_GB2312" w:cs="仿宋_GB2312"/>
          <w:b w:val="0"/>
          <w:bCs w:val="0"/>
          <w:color w:val="0D0D0D" w:themeColor="text1" w:themeTint="F2"/>
          <w:kern w:val="2"/>
          <w:sz w:val="32"/>
          <w:szCs w:val="32"/>
          <w:lang w:val="en-US" w:eastAsia="zh-CN" w:bidi="ar-SA"/>
          <w14:textFill>
            <w14:solidFill>
              <w14:schemeClr w14:val="tx1">
                <w14:lumMod w14:val="95000"/>
                <w14:lumOff w14:val="5000"/>
              </w14:schemeClr>
            </w14:solidFill>
          </w14:textFill>
        </w:rPr>
        <w:t>以部省共建职业教育创新发展新高地为契机，严格落实高中阶段招生职普比规定。一方面，加强普通高中招生管理，在全面化解了高中“大班额</w:t>
      </w:r>
      <w:r>
        <w:rPr>
          <w:rFonts w:hint="default" w:ascii="仿宋_GB2312" w:hAnsi="仿宋_GB2312" w:eastAsia="仿宋_GB2312" w:cs="仿宋_GB2312"/>
          <w:b w:val="0"/>
          <w:bCs w:val="0"/>
          <w:color w:val="0D0D0D" w:themeColor="text1" w:themeTint="F2"/>
          <w:kern w:val="2"/>
          <w:sz w:val="32"/>
          <w:szCs w:val="32"/>
          <w:lang w:val="en-US" w:eastAsia="zh-CN" w:bidi="ar-SA"/>
          <w14:textFill>
            <w14:solidFill>
              <w14:schemeClr w14:val="tx1">
                <w14:lumMod w14:val="95000"/>
                <w14:lumOff w14:val="5000"/>
              </w14:schemeClr>
            </w14:solidFill>
          </w14:textFill>
        </w:rPr>
        <w:t>”</w:t>
      </w:r>
      <w:r>
        <w:rPr>
          <w:rFonts w:hint="eastAsia" w:ascii="仿宋_GB2312" w:hAnsi="仿宋_GB2312" w:eastAsia="仿宋_GB2312" w:cs="仿宋_GB2312"/>
          <w:b w:val="0"/>
          <w:bCs w:val="0"/>
          <w:color w:val="0D0D0D" w:themeColor="text1" w:themeTint="F2"/>
          <w:kern w:val="2"/>
          <w:sz w:val="32"/>
          <w:szCs w:val="32"/>
          <w:lang w:val="en-US" w:eastAsia="zh-CN" w:bidi="ar-SA"/>
          <w14:textFill>
            <w14:solidFill>
              <w14:schemeClr w14:val="tx1">
                <w14:lumMod w14:val="95000"/>
                <w14:lumOff w14:val="5000"/>
              </w14:schemeClr>
            </w14:solidFill>
          </w14:textFill>
        </w:rPr>
        <w:t>的基础上，各普通高中学校，结合自身实际，积极探索多样化发展路子，形成了篮球、足球、排球、艺术、劳动等办学特色，在文化考试成绩持续攀升的同时，高考体育艺术本科上线人数增长。另一方面，创新发展职业教育，坚持以服务为宗旨，以就业为导向，发挥区域内园区企业较多优势，推行产教融合教学模式，通过“校企合作”“工学交替”等形式实施多元化办学，学生综合素质和就业率明显提高。计划投资4.3亿元，占地面积145亩的职业技术学校新校区即将开工建设。</w:t>
      </w:r>
    </w:p>
    <w:p>
      <w:pPr>
        <w:keepNext w:val="0"/>
        <w:keepLines w:val="0"/>
        <w:pageBreakBefore w:val="0"/>
        <w:widowControl w:val="0"/>
        <w:kinsoku/>
        <w:wordWrap/>
        <w:overflowPunct/>
        <w:topLinePunct w:val="0"/>
        <w:autoSpaceDE/>
        <w:autoSpaceDN/>
        <w:bidi w:val="0"/>
        <w:adjustRightInd/>
        <w:snapToGrid/>
        <w:spacing w:line="580" w:lineRule="exact"/>
        <w:ind w:firstLine="651"/>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kern w:val="2"/>
          <w:sz w:val="32"/>
          <w:szCs w:val="32"/>
          <w:lang w:val="en-US" w:eastAsia="zh-CN" w:bidi="ar-SA"/>
        </w:rPr>
        <w:t>3.特殊教育优质发展。</w:t>
      </w:r>
      <w:r>
        <w:rPr>
          <w:rFonts w:hint="eastAsia" w:ascii="仿宋_GB2312" w:hAnsi="仿宋_GB2312" w:eastAsia="仿宋_GB2312" w:cs="仿宋_GB2312"/>
          <w:sz w:val="32"/>
          <w:szCs w:val="32"/>
          <w:lang w:val="en-US" w:eastAsia="zh-CN"/>
        </w:rPr>
        <w:t>建立了由教育、卫健、民政、残联等部门组成的残疾人鉴定专家委员会和残疾儿童少年确认、登记、组织入学制度，残疾儿童少年实现了“应读尽读”。区特校坚持“尊重差异、按需施教、多元发展”的育人理念，开设了舞蹈、手工、非洲鼓、毛笔字、足球、奥尔夫音乐教学等兴趣班，针对残疾学生进行个别化康复训练</w:t>
      </w:r>
      <w:r>
        <w:rPr>
          <w:rFonts w:hint="default" w:ascii="仿宋_GB2312" w:hAnsi="仿宋_GB2312" w:eastAsia="仿宋_GB2312" w:cs="仿宋_GB2312"/>
          <w:sz w:val="32"/>
          <w:szCs w:val="32"/>
          <w:lang w:eastAsia="zh-CN"/>
        </w:rPr>
        <w:t>；积极推进职业教育发展，</w:t>
      </w:r>
      <w:r>
        <w:rPr>
          <w:rFonts w:hint="eastAsia" w:ascii="仿宋_GB2312" w:hAnsi="仿宋_GB2312" w:eastAsia="仿宋_GB2312" w:cs="仿宋_GB2312"/>
          <w:sz w:val="32"/>
          <w:szCs w:val="32"/>
          <w:lang w:val="en-US" w:eastAsia="zh-CN"/>
        </w:rPr>
        <w:t>开设</w:t>
      </w:r>
      <w:r>
        <w:rPr>
          <w:rFonts w:hint="default" w:ascii="仿宋_GB2312" w:hAnsi="仿宋_GB2312" w:eastAsia="仿宋_GB2312" w:cs="仿宋_GB2312"/>
          <w:sz w:val="32"/>
          <w:szCs w:val="32"/>
          <w:lang w:eastAsia="zh-CN"/>
        </w:rPr>
        <w:t>了</w:t>
      </w:r>
      <w:r>
        <w:rPr>
          <w:rFonts w:hint="eastAsia" w:ascii="仿宋_GB2312" w:hAnsi="仿宋_GB2312" w:eastAsia="仿宋_GB2312" w:cs="仿宋_GB2312"/>
          <w:sz w:val="32"/>
          <w:szCs w:val="32"/>
          <w:lang w:val="en-US" w:eastAsia="zh-CN"/>
        </w:rPr>
        <w:t>手工皂项目，</w:t>
      </w:r>
      <w:r>
        <w:rPr>
          <w:rFonts w:hint="default" w:ascii="仿宋_GB2312" w:hAnsi="仿宋_GB2312" w:eastAsia="仿宋_GB2312" w:cs="仿宋_GB2312"/>
          <w:sz w:val="32"/>
          <w:szCs w:val="32"/>
          <w:lang w:eastAsia="zh-CN"/>
        </w:rPr>
        <w:t>正在推进</w:t>
      </w:r>
      <w:r>
        <w:rPr>
          <w:rFonts w:hint="eastAsia" w:ascii="仿宋_GB2312" w:hAnsi="仿宋_GB2312" w:eastAsia="仿宋_GB2312" w:cs="仿宋_GB2312"/>
          <w:sz w:val="32"/>
          <w:szCs w:val="32"/>
          <w:lang w:val="en-US" w:eastAsia="zh-CN"/>
        </w:rPr>
        <w:t>家政、园艺项目</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学生自理能力显著提升。2021年，在第11届残疾人运动会暨第八届特殊奥运会上，区特校毕业生陈艳夺得400米冠军、100米亚军等多项奖牌，并获得参加2022年在巴西举行的国际听障奥运会资格；在省残联组织的江西省首届残疾人排舞操云大赛上，我区编排的《晚安喵》获智力残疾组第二名。2021年六一前夕，时任省委书记刘奇来校走访慰问，对学校的办学水平和教师的爱心奉献给予了充分肯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kern w:val="2"/>
          <w:sz w:val="32"/>
          <w:szCs w:val="32"/>
          <w:lang w:val="en-US" w:eastAsia="zh-CN" w:bidi="ar-SA"/>
        </w:rPr>
        <w:t>4.民办教育规范发展。</w:t>
      </w:r>
      <w:r>
        <w:rPr>
          <w:rFonts w:hint="eastAsia" w:ascii="仿宋_GB2312" w:hAnsi="仿宋_GB2312" w:eastAsia="仿宋_GB2312" w:cs="仿宋_GB2312"/>
          <w:sz w:val="32"/>
          <w:szCs w:val="32"/>
          <w:lang w:val="en-US" w:eastAsia="zh-CN"/>
        </w:rPr>
        <w:t>认真落实中办、国办《关于规范民办义务教育发展的意见》精神，坚持“制度规范、管理规范、治理规范”三管齐下，制定了《南昌市新建区规范民办义务教育发展工作方案》，完善了民办学校招生、收费管理等制度。强化源头管理，对照“六独立”要求规范办学；开展招生工作治理，严格控制民办学校招生计划，及时查处违规招生行为，2021年民办学校在校生较上年减少978人；开展“公参民”治理和分类登记管理，坚决打击民办学校高薪“挖”教师行为的；开展收费专项治理，组织专项工作组对各民办学校收费和公示情况进行专项督查；强化日常督查，2021年，我区健全了责任督学制，每所民办学校都安排了有政治站位、有工作能力、有责任心的同志担任责任督学，采取不打招呼的方式，每个月至少深入民办学校，就“五项管理”、招生、收费等工作，开展一次以上的全方位督查，发现问题，及时整改。同时，以民办学校办学水平评估和“年检”工作为抓手，不断推进民办学校规范化办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尽管我们在义务教育优质均衡方面做了一些工作，取得了一些成绩，但对照新时代教育发展要求，对照人民群众对优质教育的期盼，还有一定的差距。比如，“大班额”虽然有效化解，但“大校额”问题仍然存在，农村教育网点需进一步优化，职业教育仍是短板等。下一步，我们将按照督导组各位领导专家提出的意见建议，高标准、严要求履行教育职责，努力办好人民满意的教育。</w:t>
      </w:r>
      <w:r>
        <w:rPr>
          <w:rFonts w:hint="eastAsia" w:ascii="仿宋_GB2312" w:hAnsi="仿宋_GB2312" w:eastAsia="仿宋_GB2312" w:cs="仿宋_GB2312"/>
          <w:b/>
          <w:bCs/>
          <w:sz w:val="32"/>
          <w:szCs w:val="32"/>
          <w:lang w:val="en-US" w:eastAsia="zh-CN"/>
        </w:rPr>
        <w:t>一是坚持教育优先发展地位不动摇。</w:t>
      </w:r>
      <w:r>
        <w:rPr>
          <w:rFonts w:hint="eastAsia" w:ascii="仿宋_GB2312" w:hAnsi="仿宋_GB2312" w:eastAsia="仿宋_GB2312" w:cs="仿宋_GB2312"/>
          <w:sz w:val="32"/>
          <w:szCs w:val="32"/>
          <w:lang w:val="en-US" w:eastAsia="zh-CN"/>
        </w:rPr>
        <w:t>始终坚持“教育强区”战略，牢固树立以人民为中心的发展思想，持续加大教育投入，加强顶层设计，提升教育水平，营造“人人关心教育、个个支持教育”的尊师重教氛围。</w:t>
      </w:r>
      <w:r>
        <w:rPr>
          <w:rFonts w:hint="eastAsia" w:ascii="仿宋_GB2312" w:hAnsi="仿宋_GB2312" w:eastAsia="仿宋_GB2312" w:cs="仿宋_GB2312"/>
          <w:b/>
          <w:bCs/>
          <w:sz w:val="32"/>
          <w:szCs w:val="32"/>
          <w:lang w:val="en-US" w:eastAsia="zh-CN"/>
        </w:rPr>
        <w:t>二是咬定优质均衡目标不停步。</w:t>
      </w:r>
      <w:r>
        <w:rPr>
          <w:rFonts w:hint="eastAsia" w:ascii="仿宋_GB2312" w:hAnsi="仿宋_GB2312" w:eastAsia="仿宋_GB2312" w:cs="仿宋_GB2312"/>
          <w:sz w:val="32"/>
          <w:szCs w:val="32"/>
          <w:lang w:val="en-US" w:eastAsia="zh-CN"/>
        </w:rPr>
        <w:t>坚持以目标为导向，以问题为导向，在扩大学前教育普及普惠、推进高中教育特色多样发展、优化整合农村教育资源、化解城区“大校额”等方面下功夫，不断促进各级各类教育均衡协调发展。</w:t>
      </w:r>
      <w:r>
        <w:rPr>
          <w:rFonts w:hint="eastAsia" w:ascii="仿宋_GB2312" w:hAnsi="仿宋_GB2312" w:eastAsia="仿宋_GB2312" w:cs="仿宋_GB2312"/>
          <w:b/>
          <w:bCs/>
          <w:sz w:val="32"/>
          <w:szCs w:val="32"/>
          <w:lang w:val="en-US" w:eastAsia="zh-CN"/>
        </w:rPr>
        <w:t>三是打造职教“新高地”不懈怠。</w:t>
      </w:r>
      <w:r>
        <w:rPr>
          <w:rFonts w:hint="eastAsia" w:ascii="仿宋_GB2312" w:hAnsi="仿宋_GB2312" w:eastAsia="仿宋_GB2312" w:cs="仿宋_GB2312"/>
          <w:sz w:val="32"/>
          <w:szCs w:val="32"/>
          <w:lang w:val="en-US" w:eastAsia="zh-CN"/>
        </w:rPr>
        <w:t>紧盯职业教育短板不放松，发挥新建经开区企业优势，推行“校企合作、产教融合”；顺应学前教育发展形势，做大学前教育专业；结合农业区特点，做强园艺专业；借助“厨师之乡”资源优势，做特烹饪专业；借力区域及周边职业院校较多优势，加大宣传力度，推进职高春秋两季招生，提高职业教育社会认可度和职普比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育是国之大计、党之大计。我们将以县域义务教育优质均衡督导评估为契机，以“更加自信、更加发奋、更加齐心”的姿态，逐梦新征程，奋进向未来，履职尽责、担当实干，继续推进新建教育事业高质量发展，以优异成绩向党的二十大献礼！</w:t>
      </w:r>
    </w:p>
    <w:sectPr>
      <w:footerReference r:id="rId3" w:type="default"/>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MingLiU">
    <w:altName w:val="PMingLiU-ExtB"/>
    <w:panose1 w:val="02020509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writeProtection w:cryptProviderType="rsaFull" w:cryptAlgorithmClass="hash" w:cryptAlgorithmType="typeAny" w:cryptAlgorithmSid="4" w:cryptSpinCount="100000" w:hash="QS5gOPooypyPuq02F+RloDFz4NI=" w:salt="qUBdeYOru+cKwhTb46W89Q=="/>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iOWM4ZWRkYmE0ZjRjNjNiZDM2ZmRlMDRjYWUxMWUifQ=="/>
  </w:docVars>
  <w:rsids>
    <w:rsidRoot w:val="04214AE7"/>
    <w:rsid w:val="006C4C20"/>
    <w:rsid w:val="04214AE7"/>
    <w:rsid w:val="0480519F"/>
    <w:rsid w:val="04A53B91"/>
    <w:rsid w:val="04FF7627"/>
    <w:rsid w:val="06795387"/>
    <w:rsid w:val="0696601B"/>
    <w:rsid w:val="089B4B6C"/>
    <w:rsid w:val="094B1B3B"/>
    <w:rsid w:val="0A296072"/>
    <w:rsid w:val="0B786E60"/>
    <w:rsid w:val="0F4F6F40"/>
    <w:rsid w:val="102519F3"/>
    <w:rsid w:val="10D65EAC"/>
    <w:rsid w:val="113A08B6"/>
    <w:rsid w:val="12077889"/>
    <w:rsid w:val="13B023E6"/>
    <w:rsid w:val="141C5B9E"/>
    <w:rsid w:val="14A01013"/>
    <w:rsid w:val="1A1371FD"/>
    <w:rsid w:val="1A2D6910"/>
    <w:rsid w:val="1AF16235"/>
    <w:rsid w:val="1B7C51E3"/>
    <w:rsid w:val="1C13541B"/>
    <w:rsid w:val="1CE06CC1"/>
    <w:rsid w:val="1DDC63A4"/>
    <w:rsid w:val="1E9D2342"/>
    <w:rsid w:val="1F9E4735"/>
    <w:rsid w:val="202528FF"/>
    <w:rsid w:val="205D025A"/>
    <w:rsid w:val="20E929E0"/>
    <w:rsid w:val="22577E61"/>
    <w:rsid w:val="24152130"/>
    <w:rsid w:val="24F05A8B"/>
    <w:rsid w:val="254F188B"/>
    <w:rsid w:val="26C74D6F"/>
    <w:rsid w:val="275C323C"/>
    <w:rsid w:val="2CB81C40"/>
    <w:rsid w:val="2D6874E3"/>
    <w:rsid w:val="2DAB2B10"/>
    <w:rsid w:val="2EA20D44"/>
    <w:rsid w:val="2F656EAC"/>
    <w:rsid w:val="2FFC3BEC"/>
    <w:rsid w:val="304024F2"/>
    <w:rsid w:val="318E71BB"/>
    <w:rsid w:val="32E87CEB"/>
    <w:rsid w:val="343316D1"/>
    <w:rsid w:val="344A1168"/>
    <w:rsid w:val="37B83EF7"/>
    <w:rsid w:val="37F5323F"/>
    <w:rsid w:val="3A421AB9"/>
    <w:rsid w:val="3BD64344"/>
    <w:rsid w:val="3D6E6280"/>
    <w:rsid w:val="3E8E2505"/>
    <w:rsid w:val="40FE4928"/>
    <w:rsid w:val="45445FD7"/>
    <w:rsid w:val="47FF7B6C"/>
    <w:rsid w:val="484860A4"/>
    <w:rsid w:val="4A3A5BC6"/>
    <w:rsid w:val="4B41199F"/>
    <w:rsid w:val="4BF63042"/>
    <w:rsid w:val="4D032122"/>
    <w:rsid w:val="4D242D9D"/>
    <w:rsid w:val="4D5E07EA"/>
    <w:rsid w:val="4DD3229C"/>
    <w:rsid w:val="4DE51B42"/>
    <w:rsid w:val="50FF7BCD"/>
    <w:rsid w:val="514859C0"/>
    <w:rsid w:val="51487D22"/>
    <w:rsid w:val="51B20FE8"/>
    <w:rsid w:val="52BF7B01"/>
    <w:rsid w:val="530A480E"/>
    <w:rsid w:val="55B42D1F"/>
    <w:rsid w:val="57191C23"/>
    <w:rsid w:val="577F5B10"/>
    <w:rsid w:val="58603BEB"/>
    <w:rsid w:val="59D450A4"/>
    <w:rsid w:val="5D4F2974"/>
    <w:rsid w:val="5D6C5499"/>
    <w:rsid w:val="5DD126E5"/>
    <w:rsid w:val="5F4A175A"/>
    <w:rsid w:val="5F816213"/>
    <w:rsid w:val="5FAF3CCE"/>
    <w:rsid w:val="60127564"/>
    <w:rsid w:val="61767093"/>
    <w:rsid w:val="6258669D"/>
    <w:rsid w:val="639665CD"/>
    <w:rsid w:val="66052489"/>
    <w:rsid w:val="66C53921"/>
    <w:rsid w:val="693D611A"/>
    <w:rsid w:val="6B027116"/>
    <w:rsid w:val="6B2F172B"/>
    <w:rsid w:val="6D2A7DFD"/>
    <w:rsid w:val="6DB8005F"/>
    <w:rsid w:val="6E6203EC"/>
    <w:rsid w:val="6EDA4F09"/>
    <w:rsid w:val="6F6535FE"/>
    <w:rsid w:val="70BF2A2D"/>
    <w:rsid w:val="70D33E88"/>
    <w:rsid w:val="725900D6"/>
    <w:rsid w:val="72D63571"/>
    <w:rsid w:val="734252E4"/>
    <w:rsid w:val="740F37FA"/>
    <w:rsid w:val="7512507B"/>
    <w:rsid w:val="767B26D9"/>
    <w:rsid w:val="76A90822"/>
    <w:rsid w:val="76EB1FA1"/>
    <w:rsid w:val="7A96669D"/>
    <w:rsid w:val="7BC4287C"/>
    <w:rsid w:val="7FF77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9"/>
    <w:pPr>
      <w:keepNext/>
      <w:keepLines/>
      <w:spacing w:before="260" w:after="260" w:line="416" w:lineRule="auto"/>
      <w:outlineLvl w:val="1"/>
    </w:pPr>
    <w:rPr>
      <w:rFonts w:ascii="Cambria" w:hAnsi="Cambria"/>
      <w:b/>
      <w:bCs/>
      <w:sz w:val="32"/>
      <w:szCs w:val="32"/>
    </w:rPr>
  </w:style>
  <w:style w:type="paragraph" w:styleId="5">
    <w:name w:val="heading 3"/>
    <w:next w:val="1"/>
    <w:link w:val="17"/>
    <w:unhideWhenUsed/>
    <w:qFormat/>
    <w:uiPriority w:val="9"/>
    <w:pPr>
      <w:keepNext/>
      <w:keepLines/>
      <w:spacing w:before="260" w:after="260" w:line="416" w:lineRule="auto"/>
      <w:outlineLvl w:val="2"/>
    </w:pPr>
    <w:rPr>
      <w:rFonts w:asciiTheme="minorHAnsi" w:hAnsiTheme="minorHAnsi" w:eastAsiaTheme="minorEastAsia" w:cstheme="minorBidi"/>
      <w:b/>
      <w:bCs/>
      <w:sz w:val="32"/>
      <w:szCs w:val="32"/>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next w:val="2"/>
    <w:unhideWhenUsed/>
    <w:qFormat/>
    <w:uiPriority w:val="99"/>
    <w:rPr>
      <w:b/>
    </w:rPr>
  </w:style>
  <w:style w:type="paragraph" w:styleId="6">
    <w:name w:val="Body Text Indent"/>
    <w:basedOn w:val="1"/>
    <w:qFormat/>
    <w:uiPriority w:val="99"/>
    <w:pPr>
      <w:spacing w:line="580" w:lineRule="exact"/>
      <w:ind w:firstLine="576" w:firstLineChars="200"/>
    </w:pPr>
    <w:rPr>
      <w:rFonts w:ascii="仿宋_GB2312" w:eastAsia="仿宋_GB2312"/>
      <w:spacing w:val="-6"/>
      <w:sz w:val="3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footnote text"/>
    <w:basedOn w:val="1"/>
    <w:qFormat/>
    <w:uiPriority w:val="0"/>
    <w:pPr>
      <w:snapToGrid w:val="0"/>
      <w:jc w:val="left"/>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2"/>
    <w:basedOn w:val="6"/>
    <w:qFormat/>
    <w:uiPriority w:val="99"/>
    <w:pPr>
      <w:ind w:firstLine="420"/>
    </w:pPr>
    <w:rPr>
      <w:sz w:val="28"/>
    </w:rPr>
  </w:style>
  <w:style w:type="character" w:styleId="14">
    <w:name w:val="Strong"/>
    <w:basedOn w:val="13"/>
    <w:qFormat/>
    <w:uiPriority w:val="0"/>
    <w:rPr>
      <w:b/>
    </w:rPr>
  </w:style>
  <w:style w:type="character" w:styleId="15">
    <w:name w:val="Emphasis"/>
    <w:basedOn w:val="13"/>
    <w:qFormat/>
    <w:uiPriority w:val="0"/>
    <w:rPr>
      <w:i/>
    </w:rPr>
  </w:style>
  <w:style w:type="paragraph" w:styleId="16">
    <w:name w:val="List Paragraph"/>
    <w:basedOn w:val="1"/>
    <w:qFormat/>
    <w:uiPriority w:val="34"/>
    <w:pPr>
      <w:ind w:firstLine="420" w:firstLineChars="200"/>
    </w:pPr>
    <w:rPr>
      <w:szCs w:val="24"/>
    </w:rPr>
  </w:style>
  <w:style w:type="character" w:customStyle="1" w:styleId="17">
    <w:name w:val="标题 3 Char"/>
    <w:basedOn w:val="13"/>
    <w:link w:val="5"/>
    <w:qFormat/>
    <w:uiPriority w:val="9"/>
    <w:rPr>
      <w:rFonts w:asciiTheme="minorHAnsi" w:hAnsiTheme="minorHAnsi" w:eastAsiaTheme="minorEastAsia" w:cstheme="minorBidi"/>
      <w:b/>
      <w:bCs/>
      <w:sz w:val="32"/>
      <w:szCs w:val="32"/>
      <w:lang w:val="en-US" w:eastAsia="zh-CN" w:bidi="ar-SA"/>
    </w:rPr>
  </w:style>
  <w:style w:type="paragraph" w:customStyle="1" w:styleId="18">
    <w:name w:val="正文文本 (2)"/>
    <w:basedOn w:val="1"/>
    <w:qFormat/>
    <w:uiPriority w:val="0"/>
    <w:pPr>
      <w:widowControl w:val="0"/>
      <w:shd w:val="clear" w:color="auto" w:fill="FFFFFF"/>
      <w:spacing w:after="1400" w:line="1299" w:lineRule="exact"/>
    </w:pPr>
    <w:rPr>
      <w:rFonts w:ascii="MingLiU" w:hAnsi="MingLiU" w:eastAsia="MingLiU" w:cs="MingLiU"/>
      <w:color w:val="FD0000"/>
      <w:sz w:val="84"/>
      <w:szCs w:val="84"/>
      <w:u w:val="none"/>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7824</Words>
  <Characters>8139</Characters>
  <Lines>0</Lines>
  <Paragraphs>0</Paragraphs>
  <TotalTime>16</TotalTime>
  <ScaleCrop>false</ScaleCrop>
  <LinksUpToDate>false</LinksUpToDate>
  <CharactersWithSpaces>8158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2022-02-12T07:37:00Z</dcterms:created>
  <dc:creator>Administrator</dc:creator>
  <cp:lastModifiedBy>凡心春随</cp:lastModifiedBy>
  <dcterms:modified xsi:type="dcterms:W3CDTF">2022-09-09T01:37:28Z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090D622E43D040ABBCEE4CA3EDD76A78</vt:lpwstr>
  </property>
</Properties>
</file>