
<file path=[Content_Types].xml><?xml version="1.0" encoding="utf-8"?>
<Types xmlns="http://schemas.openxmlformats.org/package/2006/content-types">
  <Default Extension="xml" ContentType="application/xml"/>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F9BD284">
      <w:pPr>
        <w:widowControl w:val="0"/>
        <w:kinsoku/>
        <w:overflowPunct w:val="0"/>
        <w:topLinePunct/>
        <w:autoSpaceDE/>
        <w:autoSpaceDN/>
        <w:spacing w:line="560" w:lineRule="exact"/>
        <w:jc w:val="center"/>
        <w:rPr>
          <w:rFonts w:ascii="方正小标宋简体" w:hAnsi="方正小标宋简体" w:eastAsia="方正小标宋简体" w:cs="方正小标宋简体"/>
          <w:snapToGrid/>
          <w:kern w:val="21"/>
          <w:sz w:val="44"/>
          <w:szCs w:val="44"/>
          <w:lang w:eastAsia="zh-CN"/>
        </w:rPr>
      </w:pPr>
      <w:r>
        <w:rPr>
          <w:rFonts w:hint="eastAsia" w:ascii="方正小标宋简体" w:hAnsi="方正小标宋简体" w:eastAsia="方正小标宋简体" w:cs="方正小标宋简体"/>
          <w:snapToGrid/>
          <w:kern w:val="21"/>
          <w:sz w:val="44"/>
          <w:szCs w:val="44"/>
          <w:lang w:eastAsia="zh-CN"/>
        </w:rPr>
        <w:t>南昌市新建区文化事业发展中心202</w:t>
      </w:r>
      <w:r>
        <w:rPr>
          <w:rFonts w:hint="eastAsia" w:ascii="方正小标宋简体" w:hAnsi="方正小标宋简体" w:eastAsia="方正小标宋简体" w:cs="方正小标宋简体"/>
          <w:snapToGrid/>
          <w:kern w:val="21"/>
          <w:sz w:val="44"/>
          <w:szCs w:val="44"/>
          <w:lang w:val="en-US" w:eastAsia="zh-CN"/>
        </w:rPr>
        <w:t>5</w:t>
      </w:r>
      <w:r>
        <w:rPr>
          <w:rFonts w:hint="eastAsia" w:ascii="方正小标宋简体" w:hAnsi="方正小标宋简体" w:eastAsia="方正小标宋简体" w:cs="方正小标宋简体"/>
          <w:snapToGrid/>
          <w:kern w:val="21"/>
          <w:sz w:val="44"/>
          <w:szCs w:val="44"/>
          <w:lang w:eastAsia="zh-CN"/>
        </w:rPr>
        <w:t>年单位预算</w:t>
      </w:r>
    </w:p>
    <w:p w14:paraId="254149B3">
      <w:pPr>
        <w:widowControl w:val="0"/>
        <w:kinsoku/>
        <w:overflowPunct w:val="0"/>
        <w:topLinePunct/>
        <w:autoSpaceDE/>
        <w:autoSpaceDN/>
        <w:spacing w:line="400" w:lineRule="exact"/>
        <w:jc w:val="both"/>
        <w:rPr>
          <w:rFonts w:ascii="Times New Roman" w:hAnsi="Times New Roman" w:eastAsia="仿宋_GB2312" w:cs="Times New Roman"/>
          <w:snapToGrid/>
          <w:kern w:val="21"/>
          <w:sz w:val="32"/>
          <w:szCs w:val="32"/>
          <w:lang w:eastAsia="zh-CN"/>
        </w:rPr>
      </w:pPr>
    </w:p>
    <w:p w14:paraId="5D01D8A6">
      <w:pPr>
        <w:widowControl w:val="0"/>
        <w:kinsoku/>
        <w:overflowPunct w:val="0"/>
        <w:topLinePunct/>
        <w:autoSpaceDE/>
        <w:autoSpaceDN/>
        <w:spacing w:line="560" w:lineRule="exact"/>
        <w:jc w:val="center"/>
        <w:rPr>
          <w:rFonts w:ascii="黑体" w:hAnsi="黑体" w:eastAsia="黑体" w:cs="黑体"/>
          <w:snapToGrid/>
          <w:kern w:val="21"/>
          <w:sz w:val="32"/>
          <w:szCs w:val="32"/>
          <w:lang w:eastAsia="zh-CN"/>
        </w:rPr>
      </w:pPr>
      <w:r>
        <w:rPr>
          <w:rFonts w:hint="eastAsia" w:ascii="黑体" w:hAnsi="黑体" w:eastAsia="黑体" w:cs="黑体"/>
          <w:b/>
          <w:bCs/>
          <w:snapToGrid/>
          <w:kern w:val="21"/>
          <w:sz w:val="32"/>
          <w:szCs w:val="32"/>
          <w:lang w:eastAsia="zh-CN"/>
        </w:rPr>
        <w:t>目 录</w:t>
      </w:r>
    </w:p>
    <w:p w14:paraId="7D5BEC03">
      <w:pPr>
        <w:widowControl w:val="0"/>
        <w:kinsoku/>
        <w:overflowPunct w:val="0"/>
        <w:topLinePunct/>
        <w:autoSpaceDE/>
        <w:autoSpaceDN/>
        <w:spacing w:line="540" w:lineRule="exact"/>
        <w:jc w:val="both"/>
        <w:rPr>
          <w:rFonts w:ascii="Times New Roman" w:hAnsi="Times New Roman" w:eastAsia="仿宋_GB2312" w:cs="Times New Roman"/>
          <w:snapToGrid/>
          <w:kern w:val="21"/>
          <w:sz w:val="32"/>
          <w:szCs w:val="32"/>
          <w:lang w:eastAsia="zh-CN"/>
        </w:rPr>
      </w:pPr>
    </w:p>
    <w:p w14:paraId="47FB33ED">
      <w:pPr>
        <w:pStyle w:val="2"/>
        <w:widowControl w:val="0"/>
        <w:kinsoku/>
        <w:overflowPunct w:val="0"/>
        <w:topLinePunct/>
        <w:autoSpaceDE/>
        <w:autoSpaceDN/>
        <w:spacing w:line="560" w:lineRule="exact"/>
        <w:ind w:firstLine="643" w:firstLineChars="200"/>
        <w:jc w:val="both"/>
        <w:rPr>
          <w:rFonts w:ascii="Times New Roman" w:hAnsi="Times New Roman" w:eastAsia="仿宋_GB2312" w:cs="Times New Roman"/>
          <w:snapToGrid/>
          <w:kern w:val="21"/>
          <w:sz w:val="32"/>
          <w:szCs w:val="32"/>
          <w:lang w:eastAsia="zh-CN"/>
        </w:rPr>
      </w:pPr>
      <w:r>
        <w:rPr>
          <w:rFonts w:ascii="Times New Roman" w:hAnsi="Times New Roman" w:eastAsia="仿宋_GB2312" w:cs="Times New Roman"/>
          <w:b/>
          <w:bCs/>
          <w:snapToGrid/>
          <w:kern w:val="21"/>
          <w:sz w:val="32"/>
          <w:szCs w:val="32"/>
          <w:lang w:eastAsia="zh-CN"/>
        </w:rPr>
        <w:t>第一部分</w:t>
      </w:r>
      <w:r>
        <w:rPr>
          <w:rFonts w:hint="eastAsia" w:ascii="Times New Roman" w:hAnsi="Times New Roman" w:eastAsia="仿宋_GB2312" w:cs="Times New Roman"/>
          <w:b/>
          <w:bCs/>
          <w:snapToGrid/>
          <w:kern w:val="21"/>
          <w:sz w:val="32"/>
          <w:szCs w:val="32"/>
          <w:lang w:eastAsia="zh-CN"/>
        </w:rPr>
        <w:t xml:space="preserve"> 南昌市新建区文化事业发展中心</w:t>
      </w:r>
      <w:r>
        <w:rPr>
          <w:rFonts w:ascii="Times New Roman" w:hAnsi="Times New Roman" w:eastAsia="仿宋_GB2312" w:cs="Times New Roman"/>
          <w:b/>
          <w:bCs/>
          <w:snapToGrid/>
          <w:kern w:val="21"/>
          <w:sz w:val="32"/>
          <w:szCs w:val="32"/>
          <w:lang w:eastAsia="zh-CN"/>
        </w:rPr>
        <w:t>单位概况</w:t>
      </w:r>
    </w:p>
    <w:p w14:paraId="79750C1D">
      <w:pPr>
        <w:pStyle w:val="2"/>
        <w:widowControl w:val="0"/>
        <w:kinsoku/>
        <w:overflowPunct w:val="0"/>
        <w:topLinePunct/>
        <w:autoSpaceDE/>
        <w:autoSpaceDN/>
        <w:spacing w:line="560" w:lineRule="exact"/>
        <w:ind w:firstLine="640" w:firstLineChars="200"/>
        <w:jc w:val="both"/>
        <w:rPr>
          <w:rFonts w:ascii="Times New Roman" w:hAnsi="Times New Roman" w:eastAsia="仿宋_GB2312" w:cs="Times New Roman"/>
          <w:snapToGrid/>
          <w:kern w:val="21"/>
          <w:sz w:val="32"/>
          <w:szCs w:val="32"/>
          <w:lang w:eastAsia="zh-CN"/>
        </w:rPr>
      </w:pPr>
      <w:r>
        <w:rPr>
          <w:rFonts w:ascii="Times New Roman" w:hAnsi="Times New Roman" w:eastAsia="仿宋_GB2312" w:cs="Times New Roman"/>
          <w:snapToGrid/>
          <w:kern w:val="21"/>
          <w:sz w:val="32"/>
          <w:szCs w:val="32"/>
          <w:lang w:eastAsia="zh-CN"/>
        </w:rPr>
        <w:t>一、单位主要职责</w:t>
      </w:r>
    </w:p>
    <w:p w14:paraId="0361DCE2">
      <w:pPr>
        <w:pStyle w:val="2"/>
        <w:widowControl w:val="0"/>
        <w:kinsoku/>
        <w:overflowPunct w:val="0"/>
        <w:topLinePunct/>
        <w:autoSpaceDE/>
        <w:autoSpaceDN/>
        <w:spacing w:line="560" w:lineRule="exact"/>
        <w:ind w:firstLine="640" w:firstLineChars="200"/>
        <w:jc w:val="both"/>
        <w:rPr>
          <w:rFonts w:ascii="Times New Roman" w:hAnsi="Times New Roman" w:eastAsia="仿宋_GB2312" w:cs="Times New Roman"/>
          <w:snapToGrid/>
          <w:kern w:val="21"/>
          <w:sz w:val="32"/>
          <w:szCs w:val="32"/>
          <w:lang w:eastAsia="zh-CN"/>
        </w:rPr>
      </w:pPr>
      <w:r>
        <w:rPr>
          <w:rFonts w:ascii="Times New Roman" w:hAnsi="Times New Roman" w:eastAsia="仿宋_GB2312" w:cs="Times New Roman"/>
          <w:snapToGrid/>
          <w:kern w:val="21"/>
          <w:sz w:val="32"/>
          <w:szCs w:val="32"/>
          <w:lang w:eastAsia="zh-CN"/>
        </w:rPr>
        <w:t>二、机构设置及人员情况</w:t>
      </w:r>
    </w:p>
    <w:p w14:paraId="74DA4330">
      <w:pPr>
        <w:pStyle w:val="2"/>
        <w:widowControl w:val="0"/>
        <w:kinsoku/>
        <w:overflowPunct w:val="0"/>
        <w:topLinePunct/>
        <w:autoSpaceDE/>
        <w:autoSpaceDN/>
        <w:spacing w:line="560" w:lineRule="exact"/>
        <w:ind w:firstLine="643" w:firstLineChars="200"/>
        <w:jc w:val="both"/>
        <w:rPr>
          <w:rFonts w:ascii="Times New Roman" w:hAnsi="Times New Roman" w:eastAsia="仿宋_GB2312" w:cs="Times New Roman"/>
          <w:snapToGrid/>
          <w:kern w:val="21"/>
          <w:sz w:val="32"/>
          <w:szCs w:val="32"/>
          <w:lang w:eastAsia="zh-CN"/>
        </w:rPr>
      </w:pPr>
      <w:r>
        <w:rPr>
          <w:rFonts w:ascii="Times New Roman" w:hAnsi="Times New Roman" w:eastAsia="仿宋_GB2312" w:cs="Times New Roman"/>
          <w:b/>
          <w:bCs/>
          <w:snapToGrid/>
          <w:kern w:val="21"/>
          <w:sz w:val="32"/>
          <w:szCs w:val="32"/>
          <w:lang w:eastAsia="zh-CN"/>
        </w:rPr>
        <w:t>第二部分</w:t>
      </w:r>
      <w:r>
        <w:rPr>
          <w:rFonts w:hint="eastAsia" w:ascii="Times New Roman" w:hAnsi="Times New Roman" w:eastAsia="仿宋_GB2312" w:cs="Times New Roman"/>
          <w:b/>
          <w:bCs/>
          <w:snapToGrid/>
          <w:kern w:val="21"/>
          <w:sz w:val="32"/>
          <w:szCs w:val="32"/>
          <w:lang w:val="en-US" w:eastAsia="zh-CN"/>
        </w:rPr>
        <w:t xml:space="preserve"> </w:t>
      </w:r>
      <w:r>
        <w:rPr>
          <w:rFonts w:hint="eastAsia" w:ascii="Times New Roman" w:hAnsi="Times New Roman" w:eastAsia="仿宋_GB2312" w:cs="Times New Roman"/>
          <w:b/>
          <w:bCs/>
          <w:snapToGrid/>
          <w:kern w:val="21"/>
          <w:sz w:val="32"/>
          <w:szCs w:val="32"/>
          <w:lang w:eastAsia="zh-CN"/>
        </w:rPr>
        <w:t>南昌市新建区文化事业发展中心</w:t>
      </w:r>
      <w:r>
        <w:rPr>
          <w:rFonts w:ascii="Times New Roman" w:hAnsi="Times New Roman" w:eastAsia="仿宋_GB2312" w:cs="Times New Roman"/>
          <w:b/>
          <w:bCs/>
          <w:snapToGrid/>
          <w:kern w:val="21"/>
          <w:sz w:val="32"/>
          <w:szCs w:val="32"/>
          <w:lang w:eastAsia="zh-CN"/>
        </w:rPr>
        <w:t>202</w:t>
      </w:r>
      <w:r>
        <w:rPr>
          <w:rFonts w:hint="eastAsia" w:ascii="Times New Roman" w:hAnsi="Times New Roman" w:eastAsia="仿宋_GB2312" w:cs="Times New Roman"/>
          <w:b/>
          <w:bCs/>
          <w:snapToGrid/>
          <w:kern w:val="21"/>
          <w:sz w:val="32"/>
          <w:szCs w:val="32"/>
          <w:lang w:val="en-US" w:eastAsia="zh-CN"/>
        </w:rPr>
        <w:t>5</w:t>
      </w:r>
      <w:r>
        <w:rPr>
          <w:rFonts w:ascii="Times New Roman" w:hAnsi="Times New Roman" w:eastAsia="仿宋_GB2312" w:cs="Times New Roman"/>
          <w:b/>
          <w:bCs/>
          <w:snapToGrid/>
          <w:kern w:val="21"/>
          <w:sz w:val="32"/>
          <w:szCs w:val="32"/>
          <w:lang w:eastAsia="zh-CN"/>
        </w:rPr>
        <w:t>年单位预算表</w:t>
      </w:r>
    </w:p>
    <w:p w14:paraId="58E08F6A">
      <w:pPr>
        <w:pStyle w:val="2"/>
        <w:widowControl w:val="0"/>
        <w:kinsoku/>
        <w:overflowPunct w:val="0"/>
        <w:topLinePunct/>
        <w:autoSpaceDE/>
        <w:autoSpaceDN/>
        <w:spacing w:line="560" w:lineRule="exact"/>
        <w:ind w:firstLine="640" w:firstLineChars="200"/>
        <w:jc w:val="both"/>
        <w:rPr>
          <w:rFonts w:ascii="Times New Roman" w:hAnsi="Times New Roman" w:eastAsia="仿宋_GB2312" w:cs="Times New Roman"/>
          <w:snapToGrid/>
          <w:kern w:val="21"/>
          <w:sz w:val="32"/>
          <w:szCs w:val="32"/>
          <w:lang w:eastAsia="zh-CN"/>
        </w:rPr>
      </w:pPr>
      <w:r>
        <w:rPr>
          <w:rFonts w:ascii="Times New Roman" w:hAnsi="Times New Roman" w:eastAsia="仿宋_GB2312" w:cs="Times New Roman"/>
          <w:snapToGrid/>
          <w:kern w:val="21"/>
          <w:sz w:val="32"/>
          <w:szCs w:val="32"/>
          <w:lang w:eastAsia="zh-CN"/>
        </w:rPr>
        <w:t>一、《收支预算总表》</w:t>
      </w:r>
    </w:p>
    <w:p w14:paraId="644BA32E">
      <w:pPr>
        <w:pStyle w:val="2"/>
        <w:widowControl w:val="0"/>
        <w:kinsoku/>
        <w:overflowPunct w:val="0"/>
        <w:topLinePunct/>
        <w:autoSpaceDE/>
        <w:autoSpaceDN/>
        <w:spacing w:line="560" w:lineRule="exact"/>
        <w:ind w:firstLine="640" w:firstLineChars="200"/>
        <w:jc w:val="both"/>
        <w:rPr>
          <w:rFonts w:ascii="Times New Roman" w:hAnsi="Times New Roman" w:eastAsia="仿宋_GB2312" w:cs="Times New Roman"/>
          <w:snapToGrid/>
          <w:kern w:val="21"/>
          <w:sz w:val="32"/>
          <w:szCs w:val="32"/>
          <w:lang w:eastAsia="zh-CN"/>
        </w:rPr>
      </w:pPr>
      <w:r>
        <w:rPr>
          <w:rFonts w:ascii="Times New Roman" w:hAnsi="Times New Roman" w:eastAsia="仿宋_GB2312" w:cs="Times New Roman"/>
          <w:snapToGrid/>
          <w:kern w:val="21"/>
          <w:sz w:val="32"/>
          <w:szCs w:val="32"/>
          <w:lang w:eastAsia="zh-CN"/>
        </w:rPr>
        <w:t>二、《单位收入总表》</w:t>
      </w:r>
    </w:p>
    <w:p w14:paraId="26911306">
      <w:pPr>
        <w:pStyle w:val="2"/>
        <w:widowControl w:val="0"/>
        <w:kinsoku/>
        <w:overflowPunct w:val="0"/>
        <w:topLinePunct/>
        <w:autoSpaceDE/>
        <w:autoSpaceDN/>
        <w:spacing w:line="560" w:lineRule="exact"/>
        <w:ind w:firstLine="640" w:firstLineChars="200"/>
        <w:jc w:val="both"/>
        <w:rPr>
          <w:rFonts w:ascii="Times New Roman" w:hAnsi="Times New Roman" w:eastAsia="仿宋_GB2312" w:cs="Times New Roman"/>
          <w:snapToGrid/>
          <w:kern w:val="21"/>
          <w:sz w:val="32"/>
          <w:szCs w:val="32"/>
          <w:lang w:eastAsia="zh-CN"/>
        </w:rPr>
      </w:pPr>
      <w:r>
        <w:rPr>
          <w:rFonts w:ascii="Times New Roman" w:hAnsi="Times New Roman" w:eastAsia="仿宋_GB2312" w:cs="Times New Roman"/>
          <w:snapToGrid/>
          <w:kern w:val="21"/>
          <w:sz w:val="32"/>
          <w:szCs w:val="32"/>
          <w:lang w:eastAsia="zh-CN"/>
        </w:rPr>
        <w:t>三、《单位支出总表》</w:t>
      </w:r>
    </w:p>
    <w:p w14:paraId="0DAE06E7">
      <w:pPr>
        <w:pStyle w:val="2"/>
        <w:widowControl w:val="0"/>
        <w:kinsoku/>
        <w:overflowPunct w:val="0"/>
        <w:topLinePunct/>
        <w:autoSpaceDE/>
        <w:autoSpaceDN/>
        <w:spacing w:line="560" w:lineRule="exact"/>
        <w:ind w:firstLine="640" w:firstLineChars="200"/>
        <w:jc w:val="both"/>
        <w:rPr>
          <w:rFonts w:ascii="Times New Roman" w:hAnsi="Times New Roman" w:eastAsia="仿宋_GB2312" w:cs="Times New Roman"/>
          <w:snapToGrid/>
          <w:kern w:val="21"/>
          <w:sz w:val="32"/>
          <w:szCs w:val="32"/>
          <w:lang w:eastAsia="zh-CN"/>
        </w:rPr>
      </w:pPr>
      <w:r>
        <w:rPr>
          <w:rFonts w:ascii="Times New Roman" w:hAnsi="Times New Roman" w:eastAsia="仿宋_GB2312" w:cs="Times New Roman"/>
          <w:snapToGrid/>
          <w:kern w:val="21"/>
          <w:sz w:val="32"/>
          <w:szCs w:val="32"/>
          <w:lang w:eastAsia="zh-CN"/>
        </w:rPr>
        <w:t>四、《财政拨款收支总表》</w:t>
      </w:r>
    </w:p>
    <w:p w14:paraId="66A8650D">
      <w:pPr>
        <w:pStyle w:val="2"/>
        <w:widowControl w:val="0"/>
        <w:kinsoku/>
        <w:overflowPunct w:val="0"/>
        <w:topLinePunct/>
        <w:autoSpaceDE/>
        <w:autoSpaceDN/>
        <w:spacing w:line="560" w:lineRule="exact"/>
        <w:ind w:firstLine="640" w:firstLineChars="200"/>
        <w:jc w:val="both"/>
        <w:rPr>
          <w:rFonts w:ascii="Times New Roman" w:hAnsi="Times New Roman" w:eastAsia="仿宋_GB2312" w:cs="Times New Roman"/>
          <w:snapToGrid/>
          <w:kern w:val="21"/>
          <w:sz w:val="32"/>
          <w:szCs w:val="32"/>
          <w:lang w:eastAsia="zh-CN"/>
        </w:rPr>
      </w:pPr>
      <w:r>
        <w:rPr>
          <w:rFonts w:ascii="Times New Roman" w:hAnsi="Times New Roman" w:eastAsia="仿宋_GB2312" w:cs="Times New Roman"/>
          <w:snapToGrid/>
          <w:kern w:val="21"/>
          <w:sz w:val="32"/>
          <w:szCs w:val="32"/>
          <w:lang w:eastAsia="zh-CN"/>
        </w:rPr>
        <w:t>五、《一般公共预算支出表》</w:t>
      </w:r>
    </w:p>
    <w:p w14:paraId="4A689FDD">
      <w:pPr>
        <w:pStyle w:val="2"/>
        <w:widowControl w:val="0"/>
        <w:kinsoku/>
        <w:overflowPunct w:val="0"/>
        <w:topLinePunct/>
        <w:autoSpaceDE/>
        <w:autoSpaceDN/>
        <w:spacing w:line="560" w:lineRule="exact"/>
        <w:ind w:firstLine="640" w:firstLineChars="200"/>
        <w:jc w:val="both"/>
        <w:rPr>
          <w:rFonts w:ascii="Times New Roman" w:hAnsi="Times New Roman" w:eastAsia="仿宋_GB2312" w:cs="Times New Roman"/>
          <w:snapToGrid/>
          <w:kern w:val="21"/>
          <w:sz w:val="32"/>
          <w:szCs w:val="32"/>
          <w:lang w:eastAsia="zh-CN"/>
        </w:rPr>
      </w:pPr>
      <w:r>
        <w:rPr>
          <w:rFonts w:ascii="Times New Roman" w:hAnsi="Times New Roman" w:eastAsia="仿宋_GB2312" w:cs="Times New Roman"/>
          <w:snapToGrid/>
          <w:kern w:val="21"/>
          <w:sz w:val="32"/>
          <w:szCs w:val="32"/>
          <w:lang w:eastAsia="zh-CN"/>
        </w:rPr>
        <w:t>六、《一般公共预算基本支出表》</w:t>
      </w:r>
    </w:p>
    <w:p w14:paraId="41C99498">
      <w:pPr>
        <w:pStyle w:val="2"/>
        <w:widowControl w:val="0"/>
        <w:kinsoku/>
        <w:overflowPunct w:val="0"/>
        <w:topLinePunct/>
        <w:autoSpaceDE/>
        <w:autoSpaceDN/>
        <w:spacing w:line="560" w:lineRule="exact"/>
        <w:ind w:firstLine="640" w:firstLineChars="200"/>
        <w:jc w:val="both"/>
        <w:rPr>
          <w:rFonts w:ascii="Times New Roman" w:hAnsi="Times New Roman" w:eastAsia="仿宋_GB2312" w:cs="Times New Roman"/>
          <w:snapToGrid/>
          <w:kern w:val="21"/>
          <w:sz w:val="32"/>
          <w:szCs w:val="32"/>
          <w:lang w:eastAsia="zh-CN"/>
        </w:rPr>
      </w:pPr>
      <w:r>
        <w:rPr>
          <w:rFonts w:ascii="Times New Roman" w:hAnsi="Times New Roman" w:eastAsia="仿宋_GB2312" w:cs="Times New Roman"/>
          <w:snapToGrid/>
          <w:kern w:val="21"/>
          <w:sz w:val="32"/>
          <w:szCs w:val="32"/>
          <w:lang w:eastAsia="zh-CN"/>
        </w:rPr>
        <w:t>七、《财政拨款“三公”经费支出表》</w:t>
      </w:r>
    </w:p>
    <w:p w14:paraId="2E14B527">
      <w:pPr>
        <w:pStyle w:val="2"/>
        <w:widowControl w:val="0"/>
        <w:kinsoku/>
        <w:overflowPunct w:val="0"/>
        <w:topLinePunct/>
        <w:autoSpaceDE/>
        <w:autoSpaceDN/>
        <w:spacing w:line="560" w:lineRule="exact"/>
        <w:ind w:firstLine="640" w:firstLineChars="200"/>
        <w:jc w:val="both"/>
        <w:rPr>
          <w:rFonts w:ascii="Times New Roman" w:hAnsi="Times New Roman" w:eastAsia="仿宋_GB2312" w:cs="Times New Roman"/>
          <w:snapToGrid/>
          <w:kern w:val="21"/>
          <w:sz w:val="32"/>
          <w:szCs w:val="32"/>
          <w:lang w:eastAsia="zh-CN"/>
        </w:rPr>
      </w:pPr>
      <w:r>
        <w:rPr>
          <w:rFonts w:ascii="Times New Roman" w:hAnsi="Times New Roman" w:eastAsia="仿宋_GB2312" w:cs="Times New Roman"/>
          <w:snapToGrid/>
          <w:kern w:val="21"/>
          <w:sz w:val="32"/>
          <w:szCs w:val="32"/>
          <w:lang w:eastAsia="zh-CN"/>
        </w:rPr>
        <w:t>八、《政府性基金预算支出表》</w:t>
      </w:r>
    </w:p>
    <w:p w14:paraId="2915BAD7">
      <w:pPr>
        <w:pStyle w:val="2"/>
        <w:widowControl w:val="0"/>
        <w:kinsoku/>
        <w:overflowPunct w:val="0"/>
        <w:topLinePunct/>
        <w:autoSpaceDE/>
        <w:autoSpaceDN/>
        <w:spacing w:line="560" w:lineRule="exact"/>
        <w:ind w:firstLine="640" w:firstLineChars="200"/>
        <w:jc w:val="both"/>
        <w:rPr>
          <w:rFonts w:ascii="Times New Roman" w:hAnsi="Times New Roman" w:eastAsia="仿宋_GB2312" w:cs="Times New Roman"/>
          <w:snapToGrid/>
          <w:kern w:val="21"/>
          <w:sz w:val="32"/>
          <w:szCs w:val="32"/>
          <w:lang w:eastAsia="zh-CN"/>
        </w:rPr>
      </w:pPr>
      <w:r>
        <w:rPr>
          <w:rFonts w:ascii="Times New Roman" w:hAnsi="Times New Roman" w:eastAsia="仿宋_GB2312" w:cs="Times New Roman"/>
          <w:snapToGrid/>
          <w:kern w:val="21"/>
          <w:sz w:val="32"/>
          <w:szCs w:val="32"/>
          <w:lang w:eastAsia="zh-CN"/>
        </w:rPr>
        <w:t>九、《国有资本经营预算支出表》</w:t>
      </w:r>
    </w:p>
    <w:p w14:paraId="0EDE8903">
      <w:pPr>
        <w:pStyle w:val="2"/>
        <w:widowControl w:val="0"/>
        <w:kinsoku/>
        <w:overflowPunct w:val="0"/>
        <w:topLinePunct/>
        <w:autoSpaceDE/>
        <w:autoSpaceDN/>
        <w:spacing w:line="560" w:lineRule="exact"/>
        <w:ind w:firstLine="640" w:firstLineChars="200"/>
        <w:jc w:val="both"/>
        <w:rPr>
          <w:rFonts w:ascii="Times New Roman" w:hAnsi="Times New Roman" w:eastAsia="仿宋_GB2312" w:cs="Times New Roman"/>
          <w:snapToGrid/>
          <w:kern w:val="21"/>
          <w:sz w:val="32"/>
          <w:szCs w:val="32"/>
          <w:lang w:eastAsia="zh-CN"/>
        </w:rPr>
      </w:pPr>
      <w:r>
        <w:rPr>
          <w:rFonts w:ascii="Times New Roman" w:hAnsi="Times New Roman" w:eastAsia="仿宋_GB2312" w:cs="Times New Roman"/>
          <w:snapToGrid/>
          <w:kern w:val="21"/>
          <w:sz w:val="32"/>
          <w:szCs w:val="32"/>
          <w:lang w:eastAsia="zh-CN"/>
        </w:rPr>
        <w:t>十、《项目支出绩效目标表》</w:t>
      </w:r>
    </w:p>
    <w:p w14:paraId="40174CD6">
      <w:pPr>
        <w:pStyle w:val="2"/>
        <w:widowControl w:val="0"/>
        <w:kinsoku/>
        <w:overflowPunct w:val="0"/>
        <w:topLinePunct/>
        <w:autoSpaceDE/>
        <w:autoSpaceDN/>
        <w:spacing w:line="560" w:lineRule="exact"/>
        <w:ind w:firstLine="643" w:firstLineChars="200"/>
        <w:jc w:val="both"/>
        <w:rPr>
          <w:rFonts w:ascii="Times New Roman" w:hAnsi="Times New Roman" w:eastAsia="仿宋_GB2312" w:cs="Times New Roman"/>
          <w:snapToGrid/>
          <w:kern w:val="21"/>
          <w:sz w:val="32"/>
          <w:szCs w:val="32"/>
          <w:lang w:eastAsia="zh-CN"/>
        </w:rPr>
      </w:pPr>
      <w:r>
        <w:rPr>
          <w:rFonts w:ascii="Times New Roman" w:hAnsi="Times New Roman" w:eastAsia="仿宋_GB2312" w:cs="Times New Roman"/>
          <w:b/>
          <w:bCs/>
          <w:snapToGrid/>
          <w:kern w:val="21"/>
          <w:sz w:val="32"/>
          <w:szCs w:val="32"/>
          <w:lang w:eastAsia="zh-CN"/>
        </w:rPr>
        <w:t>第三部分</w:t>
      </w:r>
      <w:r>
        <w:rPr>
          <w:rFonts w:hint="eastAsia" w:ascii="Times New Roman" w:hAnsi="Times New Roman" w:eastAsia="仿宋_GB2312" w:cs="Times New Roman"/>
          <w:b/>
          <w:bCs/>
          <w:snapToGrid/>
          <w:kern w:val="21"/>
          <w:sz w:val="32"/>
          <w:szCs w:val="32"/>
          <w:lang w:eastAsia="zh-CN"/>
        </w:rPr>
        <w:t xml:space="preserve"> 南昌市新建区文化事业发展中心</w:t>
      </w:r>
      <w:r>
        <w:rPr>
          <w:rFonts w:ascii="Times New Roman" w:hAnsi="Times New Roman" w:eastAsia="仿宋_GB2312" w:cs="Times New Roman"/>
          <w:b/>
          <w:bCs/>
          <w:snapToGrid/>
          <w:kern w:val="21"/>
          <w:sz w:val="32"/>
          <w:szCs w:val="32"/>
          <w:lang w:eastAsia="zh-CN"/>
        </w:rPr>
        <w:t>202</w:t>
      </w:r>
      <w:r>
        <w:rPr>
          <w:rFonts w:hint="eastAsia" w:ascii="Times New Roman" w:hAnsi="Times New Roman" w:eastAsia="仿宋_GB2312" w:cs="Times New Roman"/>
          <w:b/>
          <w:bCs/>
          <w:snapToGrid/>
          <w:kern w:val="21"/>
          <w:sz w:val="32"/>
          <w:szCs w:val="32"/>
          <w:lang w:val="en-US" w:eastAsia="zh-CN"/>
        </w:rPr>
        <w:t>5</w:t>
      </w:r>
      <w:r>
        <w:rPr>
          <w:rFonts w:ascii="Times New Roman" w:hAnsi="Times New Roman" w:eastAsia="仿宋_GB2312" w:cs="Times New Roman"/>
          <w:b/>
          <w:bCs/>
          <w:snapToGrid/>
          <w:kern w:val="21"/>
          <w:sz w:val="32"/>
          <w:szCs w:val="32"/>
          <w:lang w:eastAsia="zh-CN"/>
        </w:rPr>
        <w:t>年单位预算情况说明</w:t>
      </w:r>
    </w:p>
    <w:p w14:paraId="75E33329">
      <w:pPr>
        <w:pStyle w:val="2"/>
        <w:widowControl w:val="0"/>
        <w:kinsoku/>
        <w:overflowPunct w:val="0"/>
        <w:topLinePunct/>
        <w:autoSpaceDE/>
        <w:autoSpaceDN/>
        <w:spacing w:line="560" w:lineRule="exact"/>
        <w:ind w:firstLine="640" w:firstLineChars="200"/>
        <w:jc w:val="both"/>
        <w:rPr>
          <w:rFonts w:ascii="Times New Roman" w:hAnsi="Times New Roman" w:eastAsia="仿宋_GB2312" w:cs="Times New Roman"/>
          <w:snapToGrid/>
          <w:kern w:val="21"/>
          <w:sz w:val="32"/>
          <w:szCs w:val="32"/>
          <w:lang w:eastAsia="zh-CN"/>
        </w:rPr>
      </w:pPr>
      <w:r>
        <w:rPr>
          <w:rFonts w:ascii="Times New Roman" w:hAnsi="Times New Roman" w:eastAsia="仿宋_GB2312" w:cs="Times New Roman"/>
          <w:snapToGrid/>
          <w:kern w:val="21"/>
          <w:sz w:val="32"/>
          <w:szCs w:val="32"/>
          <w:lang w:eastAsia="zh-CN"/>
        </w:rPr>
        <w:t>一、202</w:t>
      </w:r>
      <w:r>
        <w:rPr>
          <w:rFonts w:hint="eastAsia" w:ascii="Times New Roman" w:hAnsi="Times New Roman" w:eastAsia="仿宋_GB2312" w:cs="Times New Roman"/>
          <w:snapToGrid/>
          <w:kern w:val="21"/>
          <w:sz w:val="32"/>
          <w:szCs w:val="32"/>
          <w:lang w:val="en-US" w:eastAsia="zh-CN"/>
        </w:rPr>
        <w:t>5</w:t>
      </w:r>
      <w:r>
        <w:rPr>
          <w:rFonts w:ascii="Times New Roman" w:hAnsi="Times New Roman" w:eastAsia="仿宋_GB2312" w:cs="Times New Roman"/>
          <w:snapToGrid/>
          <w:kern w:val="21"/>
          <w:sz w:val="32"/>
          <w:szCs w:val="32"/>
          <w:lang w:eastAsia="zh-CN"/>
        </w:rPr>
        <w:t>年单位预算收支情况说明</w:t>
      </w:r>
    </w:p>
    <w:p w14:paraId="03630D19">
      <w:pPr>
        <w:pStyle w:val="2"/>
        <w:widowControl w:val="0"/>
        <w:kinsoku/>
        <w:overflowPunct w:val="0"/>
        <w:topLinePunct/>
        <w:autoSpaceDE/>
        <w:autoSpaceDN/>
        <w:spacing w:line="560" w:lineRule="exact"/>
        <w:ind w:firstLine="640" w:firstLineChars="200"/>
        <w:jc w:val="both"/>
        <w:rPr>
          <w:rFonts w:ascii="Times New Roman" w:hAnsi="Times New Roman" w:eastAsia="仿宋_GB2312" w:cs="Times New Roman"/>
          <w:snapToGrid/>
          <w:kern w:val="21"/>
          <w:sz w:val="32"/>
          <w:szCs w:val="32"/>
          <w:lang w:eastAsia="zh-CN"/>
        </w:rPr>
      </w:pPr>
      <w:r>
        <w:rPr>
          <w:rFonts w:ascii="Times New Roman" w:hAnsi="Times New Roman" w:eastAsia="仿宋_GB2312" w:cs="Times New Roman"/>
          <w:snapToGrid/>
          <w:kern w:val="21"/>
          <w:sz w:val="32"/>
          <w:szCs w:val="32"/>
          <w:lang w:eastAsia="zh-CN"/>
        </w:rPr>
        <w:t>二、202</w:t>
      </w:r>
      <w:r>
        <w:rPr>
          <w:rFonts w:hint="eastAsia" w:ascii="Times New Roman" w:hAnsi="Times New Roman" w:eastAsia="仿宋_GB2312" w:cs="Times New Roman"/>
          <w:snapToGrid/>
          <w:kern w:val="21"/>
          <w:sz w:val="32"/>
          <w:szCs w:val="32"/>
          <w:lang w:val="en-US" w:eastAsia="zh-CN"/>
        </w:rPr>
        <w:t>5</w:t>
      </w:r>
      <w:r>
        <w:rPr>
          <w:rFonts w:ascii="Times New Roman" w:hAnsi="Times New Roman" w:eastAsia="仿宋_GB2312" w:cs="Times New Roman"/>
          <w:snapToGrid/>
          <w:kern w:val="21"/>
          <w:sz w:val="32"/>
          <w:szCs w:val="32"/>
          <w:lang w:eastAsia="zh-CN"/>
        </w:rPr>
        <w:t>年“三公”经费预算情况说明</w:t>
      </w:r>
    </w:p>
    <w:p w14:paraId="5B891740">
      <w:pPr>
        <w:pStyle w:val="2"/>
        <w:widowControl w:val="0"/>
        <w:kinsoku/>
        <w:overflowPunct w:val="0"/>
        <w:topLinePunct/>
        <w:autoSpaceDE/>
        <w:autoSpaceDN/>
        <w:spacing w:line="560" w:lineRule="exact"/>
        <w:ind w:firstLine="643" w:firstLineChars="200"/>
        <w:jc w:val="both"/>
        <w:rPr>
          <w:rFonts w:ascii="Times New Roman" w:hAnsi="Times New Roman" w:eastAsia="仿宋_GB2312" w:cs="Times New Roman"/>
          <w:snapToGrid/>
          <w:kern w:val="21"/>
          <w:sz w:val="32"/>
          <w:szCs w:val="32"/>
          <w:lang w:eastAsia="zh-CN"/>
        </w:rPr>
      </w:pPr>
      <w:r>
        <w:rPr>
          <w:rFonts w:ascii="Times New Roman" w:hAnsi="Times New Roman" w:eastAsia="仿宋_GB2312" w:cs="Times New Roman"/>
          <w:b/>
          <w:bCs/>
          <w:snapToGrid/>
          <w:kern w:val="21"/>
          <w:sz w:val="32"/>
          <w:szCs w:val="32"/>
          <w:lang w:eastAsia="zh-CN"/>
        </w:rPr>
        <w:t>第四部分</w:t>
      </w:r>
      <w:r>
        <w:rPr>
          <w:rFonts w:hint="eastAsia" w:ascii="Times New Roman" w:hAnsi="Times New Roman" w:eastAsia="仿宋_GB2312" w:cs="Times New Roman"/>
          <w:b/>
          <w:bCs/>
          <w:snapToGrid/>
          <w:kern w:val="21"/>
          <w:sz w:val="32"/>
          <w:szCs w:val="32"/>
          <w:lang w:eastAsia="zh-CN"/>
        </w:rPr>
        <w:t xml:space="preserve"> </w:t>
      </w:r>
      <w:r>
        <w:rPr>
          <w:rFonts w:ascii="Times New Roman" w:hAnsi="Times New Roman" w:eastAsia="仿宋_GB2312" w:cs="Times New Roman"/>
          <w:b/>
          <w:bCs/>
          <w:snapToGrid/>
          <w:kern w:val="21"/>
          <w:sz w:val="32"/>
          <w:szCs w:val="32"/>
          <w:lang w:eastAsia="zh-CN"/>
        </w:rPr>
        <w:t>名词解释</w:t>
      </w:r>
    </w:p>
    <w:p w14:paraId="2A72A64A">
      <w:pPr>
        <w:widowControl w:val="0"/>
        <w:kinsoku/>
        <w:overflowPunct w:val="0"/>
        <w:topLinePunct/>
        <w:autoSpaceDE/>
        <w:autoSpaceDN/>
        <w:spacing w:line="560" w:lineRule="exact"/>
        <w:ind w:firstLine="640" w:firstLineChars="200"/>
        <w:jc w:val="both"/>
        <w:rPr>
          <w:rFonts w:ascii="Times New Roman" w:hAnsi="Times New Roman" w:eastAsia="仿宋_GB2312" w:cs="Times New Roman"/>
          <w:snapToGrid/>
          <w:kern w:val="21"/>
          <w:sz w:val="32"/>
          <w:szCs w:val="32"/>
          <w:lang w:eastAsia="zh-CN"/>
        </w:rPr>
        <w:sectPr>
          <w:footerReference r:id="rId3" w:type="default"/>
          <w:pgSz w:w="11900" w:h="16830"/>
          <w:pgMar w:top="1417" w:right="1417" w:bottom="1417" w:left="1417" w:header="0" w:footer="1361" w:gutter="0"/>
          <w:pgNumType w:fmt="numberInDash"/>
          <w:cols w:space="720" w:num="1"/>
        </w:sectPr>
      </w:pPr>
    </w:p>
    <w:p w14:paraId="789E5682">
      <w:pPr>
        <w:widowControl w:val="0"/>
        <w:kinsoku/>
        <w:overflowPunct w:val="0"/>
        <w:topLinePunct/>
        <w:autoSpaceDE/>
        <w:autoSpaceDN/>
        <w:spacing w:line="560" w:lineRule="exact"/>
        <w:jc w:val="center"/>
        <w:rPr>
          <w:rFonts w:ascii="黑体" w:hAnsi="黑体" w:eastAsia="黑体" w:cs="黑体"/>
          <w:b/>
          <w:bCs/>
          <w:snapToGrid/>
          <w:kern w:val="21"/>
          <w:sz w:val="32"/>
          <w:szCs w:val="32"/>
          <w:lang w:eastAsia="zh-CN"/>
        </w:rPr>
      </w:pPr>
      <w:r>
        <w:rPr>
          <w:rFonts w:hint="eastAsia" w:ascii="黑体" w:hAnsi="黑体" w:eastAsia="黑体" w:cs="黑体"/>
          <w:b/>
          <w:bCs/>
          <w:snapToGrid/>
          <w:kern w:val="21"/>
          <w:sz w:val="32"/>
          <w:szCs w:val="32"/>
          <w:lang w:eastAsia="zh-CN"/>
        </w:rPr>
        <w:t>第一部分 南昌市新建区文化事业发展中心单位概况</w:t>
      </w:r>
    </w:p>
    <w:p w14:paraId="3D61821D">
      <w:pPr>
        <w:widowControl w:val="0"/>
        <w:kinsoku/>
        <w:overflowPunct w:val="0"/>
        <w:topLinePunct/>
        <w:autoSpaceDE/>
        <w:autoSpaceDN/>
        <w:spacing w:line="560" w:lineRule="exact"/>
        <w:jc w:val="both"/>
        <w:outlineLvl w:val="1"/>
        <w:rPr>
          <w:rFonts w:ascii="Times New Roman" w:hAnsi="Times New Roman" w:eastAsia="仿宋_GB2312" w:cs="Times New Roman"/>
          <w:b/>
          <w:bCs/>
          <w:snapToGrid/>
          <w:kern w:val="21"/>
          <w:sz w:val="32"/>
          <w:szCs w:val="32"/>
          <w:lang w:eastAsia="zh-CN"/>
        </w:rPr>
      </w:pPr>
    </w:p>
    <w:p w14:paraId="1EC1BEC8">
      <w:pPr>
        <w:widowControl w:val="0"/>
        <w:kinsoku/>
        <w:overflowPunct w:val="0"/>
        <w:topLinePunct/>
        <w:autoSpaceDE/>
        <w:autoSpaceDN/>
        <w:spacing w:line="560" w:lineRule="exact"/>
        <w:ind w:firstLine="640" w:firstLineChars="200"/>
        <w:jc w:val="both"/>
        <w:outlineLvl w:val="1"/>
        <w:rPr>
          <w:rFonts w:ascii="黑体" w:hAnsi="黑体" w:eastAsia="黑体" w:cs="黑体"/>
          <w:snapToGrid/>
          <w:kern w:val="21"/>
          <w:sz w:val="32"/>
          <w:szCs w:val="32"/>
          <w:lang w:eastAsia="zh-CN"/>
        </w:rPr>
      </w:pPr>
      <w:r>
        <w:rPr>
          <w:rFonts w:hint="eastAsia" w:ascii="黑体" w:hAnsi="黑体" w:eastAsia="黑体" w:cs="黑体"/>
          <w:snapToGrid/>
          <w:kern w:val="21"/>
          <w:sz w:val="32"/>
          <w:szCs w:val="32"/>
          <w:lang w:eastAsia="zh-CN"/>
        </w:rPr>
        <w:t>一、单位主要职责</w:t>
      </w:r>
    </w:p>
    <w:p w14:paraId="1483B436">
      <w:pPr>
        <w:ind w:firstLine="630"/>
        <w:jc w:val="left"/>
        <w:rPr>
          <w:rFonts w:hint="eastAsia" w:ascii="Times New Roman" w:hAnsi="Times New Roman" w:eastAsia="仿宋_GB2312" w:cs="Times New Roman"/>
          <w:snapToGrid/>
          <w:color w:val="000000"/>
          <w:kern w:val="21"/>
          <w:sz w:val="32"/>
          <w:szCs w:val="32"/>
          <w:lang w:val="en-US" w:eastAsia="zh-CN" w:bidi="ar-SA"/>
        </w:rPr>
      </w:pPr>
      <w:r>
        <w:rPr>
          <w:rFonts w:hint="eastAsia" w:ascii="Times New Roman" w:hAnsi="Times New Roman" w:eastAsia="仿宋_GB2312" w:cs="Times New Roman"/>
          <w:snapToGrid/>
          <w:color w:val="000000"/>
          <w:kern w:val="21"/>
          <w:sz w:val="32"/>
          <w:szCs w:val="32"/>
          <w:lang w:val="en-US" w:eastAsia="zh-CN" w:bidi="ar-SA"/>
        </w:rPr>
        <w:t>南昌市新建区文化馆(南昌市新建区非物质文化遗产研究保护中心)、南昌市新建区图书馆、南昌市新建区博物馆整合组建南昌市新建区文化事业发展中心,挂南昌市新建区非物质文化遗产研究保护中心牌子，为区文化广电新闻出版旅游局管理的股级公益一类事业单位，主要承担为广大群众提供文艺活动、图书借阅、开放式展览等公共文化服务，保护民族和民间文化遗产以及全区文物征集、保护、维修等职能。</w:t>
      </w:r>
    </w:p>
    <w:p w14:paraId="0BBFE55D">
      <w:pPr>
        <w:widowControl w:val="0"/>
        <w:kinsoku/>
        <w:overflowPunct w:val="0"/>
        <w:topLinePunct/>
        <w:autoSpaceDE/>
        <w:autoSpaceDN/>
        <w:spacing w:line="560" w:lineRule="exact"/>
        <w:ind w:firstLine="640" w:firstLineChars="200"/>
        <w:jc w:val="both"/>
        <w:outlineLvl w:val="1"/>
        <w:rPr>
          <w:rFonts w:ascii="黑体" w:hAnsi="黑体" w:eastAsia="黑体" w:cs="黑体"/>
          <w:snapToGrid/>
          <w:kern w:val="21"/>
          <w:sz w:val="32"/>
          <w:szCs w:val="32"/>
          <w:lang w:eastAsia="zh-CN"/>
        </w:rPr>
      </w:pPr>
      <w:r>
        <w:rPr>
          <w:rFonts w:hint="eastAsia" w:ascii="黑体" w:hAnsi="黑体" w:eastAsia="黑体" w:cs="黑体"/>
          <w:snapToGrid/>
          <w:kern w:val="21"/>
          <w:sz w:val="32"/>
          <w:szCs w:val="32"/>
          <w:lang w:eastAsia="zh-CN"/>
        </w:rPr>
        <w:t>二、机构设置及人员情况</w:t>
      </w:r>
    </w:p>
    <w:p w14:paraId="0445B4A0">
      <w:pPr>
        <w:pStyle w:val="2"/>
        <w:widowControl w:val="0"/>
        <w:kinsoku/>
        <w:overflowPunct w:val="0"/>
        <w:topLinePunct/>
        <w:autoSpaceDE/>
        <w:autoSpaceDN/>
        <w:spacing w:line="560" w:lineRule="exact"/>
        <w:ind w:firstLine="619"/>
        <w:jc w:val="both"/>
        <w:rPr>
          <w:rFonts w:ascii="Times New Roman" w:hAnsi="Times New Roman" w:eastAsia="仿宋_GB2312" w:cs="Times New Roman"/>
          <w:snapToGrid/>
          <w:kern w:val="21"/>
          <w:sz w:val="32"/>
          <w:szCs w:val="32"/>
          <w:lang w:eastAsia="zh-CN"/>
        </w:rPr>
      </w:pPr>
      <w:r>
        <w:rPr>
          <w:rFonts w:hint="eastAsia" w:ascii="Times New Roman" w:hAnsi="Times New Roman" w:eastAsia="仿宋_GB2312" w:cs="Times New Roman"/>
          <w:snapToGrid/>
          <w:kern w:val="21"/>
          <w:sz w:val="32"/>
          <w:szCs w:val="32"/>
          <w:lang w:val="en-US" w:eastAsia="zh-CN"/>
        </w:rPr>
        <w:t>2025</w:t>
      </w:r>
      <w:r>
        <w:rPr>
          <w:rFonts w:ascii="Times New Roman" w:hAnsi="Times New Roman" w:eastAsia="仿宋_GB2312" w:cs="Times New Roman"/>
          <w:snapToGrid/>
          <w:kern w:val="21"/>
          <w:sz w:val="32"/>
          <w:szCs w:val="32"/>
          <w:lang w:eastAsia="zh-CN"/>
        </w:rPr>
        <w:t>年</w:t>
      </w:r>
      <w:r>
        <w:rPr>
          <w:rFonts w:hint="eastAsia" w:ascii="Times New Roman" w:hAnsi="Times New Roman" w:eastAsia="仿宋_GB2312" w:cs="Times New Roman"/>
          <w:snapToGrid/>
          <w:kern w:val="21"/>
          <w:sz w:val="32"/>
          <w:szCs w:val="32"/>
          <w:lang w:eastAsia="zh-CN"/>
        </w:rPr>
        <w:t>南昌市新建区文化事业发展中心</w:t>
      </w:r>
      <w:r>
        <w:rPr>
          <w:rFonts w:ascii="Times New Roman" w:hAnsi="Times New Roman" w:eastAsia="仿宋_GB2312" w:cs="Times New Roman"/>
          <w:snapToGrid/>
          <w:kern w:val="21"/>
          <w:sz w:val="32"/>
          <w:szCs w:val="32"/>
          <w:lang w:eastAsia="zh-CN"/>
        </w:rPr>
        <w:t>单位内设处室</w:t>
      </w:r>
      <w:r>
        <w:rPr>
          <w:rFonts w:hint="eastAsia" w:ascii="Times New Roman" w:hAnsi="Times New Roman" w:eastAsia="仿宋_GB2312" w:cs="Times New Roman"/>
          <w:snapToGrid/>
          <w:kern w:val="21"/>
          <w:sz w:val="32"/>
          <w:szCs w:val="32"/>
          <w:lang w:val="en-US" w:eastAsia="zh-CN"/>
        </w:rPr>
        <w:t xml:space="preserve"> 2</w:t>
      </w:r>
      <w:r>
        <w:rPr>
          <w:rFonts w:ascii="Times New Roman" w:hAnsi="Times New Roman" w:eastAsia="仿宋_GB2312" w:cs="Times New Roman"/>
          <w:snapToGrid/>
          <w:kern w:val="21"/>
          <w:sz w:val="32"/>
          <w:szCs w:val="32"/>
          <w:lang w:eastAsia="zh-CN"/>
        </w:rPr>
        <w:t>个，包括：（</w:t>
      </w:r>
      <w:r>
        <w:rPr>
          <w:rFonts w:hint="eastAsia" w:ascii="Times New Roman" w:hAnsi="Times New Roman" w:eastAsia="仿宋_GB2312" w:cs="Times New Roman"/>
          <w:snapToGrid/>
          <w:kern w:val="21"/>
          <w:sz w:val="32"/>
          <w:szCs w:val="32"/>
          <w:lang w:eastAsia="zh-CN"/>
        </w:rPr>
        <w:t>办公室、财务室）</w:t>
      </w:r>
      <w:r>
        <w:rPr>
          <w:rFonts w:ascii="Times New Roman" w:hAnsi="Times New Roman" w:eastAsia="仿宋_GB2312" w:cs="Times New Roman"/>
          <w:snapToGrid/>
          <w:kern w:val="21"/>
          <w:sz w:val="32"/>
          <w:szCs w:val="32"/>
          <w:lang w:eastAsia="zh-CN"/>
        </w:rPr>
        <w:t>。</w:t>
      </w:r>
    </w:p>
    <w:p w14:paraId="598E5E86">
      <w:pPr>
        <w:pStyle w:val="2"/>
        <w:widowControl w:val="0"/>
        <w:kinsoku/>
        <w:overflowPunct w:val="0"/>
        <w:topLinePunct/>
        <w:autoSpaceDE/>
        <w:autoSpaceDN/>
        <w:spacing w:line="560" w:lineRule="exact"/>
        <w:ind w:firstLine="619"/>
        <w:jc w:val="both"/>
        <w:rPr>
          <w:rFonts w:ascii="Times New Roman" w:hAnsi="Times New Roman" w:eastAsia="仿宋_GB2312" w:cs="Times New Roman"/>
          <w:snapToGrid/>
          <w:kern w:val="21"/>
          <w:sz w:val="32"/>
          <w:szCs w:val="32"/>
          <w:lang w:eastAsia="zh-CN"/>
        </w:rPr>
      </w:pPr>
      <w:r>
        <w:rPr>
          <w:rFonts w:ascii="Times New Roman" w:hAnsi="Times New Roman" w:eastAsia="仿宋_GB2312" w:cs="Times New Roman"/>
          <w:snapToGrid/>
          <w:kern w:val="21"/>
          <w:sz w:val="32"/>
          <w:szCs w:val="32"/>
          <w:lang w:eastAsia="zh-CN"/>
        </w:rPr>
        <w:t>编制人数小计</w:t>
      </w:r>
      <w:r>
        <w:rPr>
          <w:rFonts w:hint="eastAsia" w:ascii="Times New Roman" w:hAnsi="Times New Roman" w:eastAsia="仿宋_GB2312" w:cs="Times New Roman"/>
          <w:snapToGrid/>
          <w:kern w:val="21"/>
          <w:sz w:val="32"/>
          <w:szCs w:val="32"/>
          <w:lang w:val="en-US" w:eastAsia="zh-CN"/>
        </w:rPr>
        <w:t>37</w:t>
      </w:r>
      <w:r>
        <w:rPr>
          <w:rFonts w:ascii="Times New Roman" w:hAnsi="Times New Roman" w:eastAsia="仿宋_GB2312" w:cs="Times New Roman"/>
          <w:snapToGrid/>
          <w:kern w:val="21"/>
          <w:sz w:val="32"/>
          <w:szCs w:val="32"/>
          <w:lang w:eastAsia="zh-CN"/>
        </w:rPr>
        <w:t>人，其中：行政编制</w:t>
      </w:r>
      <w:r>
        <w:rPr>
          <w:rFonts w:hint="eastAsia" w:ascii="Times New Roman" w:hAnsi="Times New Roman" w:eastAsia="仿宋_GB2312" w:cs="Times New Roman"/>
          <w:snapToGrid/>
          <w:kern w:val="21"/>
          <w:sz w:val="32"/>
          <w:szCs w:val="32"/>
          <w:lang w:val="en-US" w:eastAsia="zh-CN"/>
        </w:rPr>
        <w:t>0</w:t>
      </w:r>
      <w:r>
        <w:rPr>
          <w:rFonts w:ascii="Times New Roman" w:hAnsi="Times New Roman" w:eastAsia="仿宋_GB2312" w:cs="Times New Roman"/>
          <w:snapToGrid/>
          <w:kern w:val="21"/>
          <w:sz w:val="32"/>
          <w:szCs w:val="32"/>
          <w:lang w:eastAsia="zh-CN"/>
        </w:rPr>
        <w:t>人、参照公务员管理的事业编制</w:t>
      </w:r>
      <w:r>
        <w:rPr>
          <w:rFonts w:hint="eastAsia" w:ascii="Times New Roman" w:hAnsi="Times New Roman" w:eastAsia="仿宋_GB2312" w:cs="Times New Roman"/>
          <w:snapToGrid/>
          <w:kern w:val="21"/>
          <w:sz w:val="32"/>
          <w:szCs w:val="32"/>
          <w:lang w:val="en-US" w:eastAsia="zh-CN"/>
        </w:rPr>
        <w:t>0</w:t>
      </w:r>
      <w:r>
        <w:rPr>
          <w:rFonts w:ascii="Times New Roman" w:hAnsi="Times New Roman" w:eastAsia="仿宋_GB2312" w:cs="Times New Roman"/>
          <w:snapToGrid/>
          <w:kern w:val="21"/>
          <w:sz w:val="32"/>
          <w:szCs w:val="32"/>
          <w:lang w:eastAsia="zh-CN"/>
        </w:rPr>
        <w:t>人、全部补助事业编制</w:t>
      </w:r>
      <w:r>
        <w:rPr>
          <w:rFonts w:hint="eastAsia" w:ascii="Times New Roman" w:hAnsi="Times New Roman" w:eastAsia="仿宋_GB2312" w:cs="Times New Roman"/>
          <w:snapToGrid/>
          <w:kern w:val="21"/>
          <w:sz w:val="32"/>
          <w:szCs w:val="32"/>
          <w:lang w:val="en-US" w:eastAsia="zh-CN"/>
        </w:rPr>
        <w:t>37</w:t>
      </w:r>
      <w:r>
        <w:rPr>
          <w:rFonts w:ascii="Times New Roman" w:hAnsi="Times New Roman" w:eastAsia="仿宋_GB2312" w:cs="Times New Roman"/>
          <w:snapToGrid/>
          <w:kern w:val="21"/>
          <w:sz w:val="32"/>
          <w:szCs w:val="32"/>
          <w:lang w:eastAsia="zh-CN"/>
        </w:rPr>
        <w:t>人、部分补助事业编制</w:t>
      </w:r>
      <w:r>
        <w:rPr>
          <w:rFonts w:hint="eastAsia" w:ascii="Times New Roman" w:hAnsi="Times New Roman" w:eastAsia="仿宋_GB2312" w:cs="Times New Roman"/>
          <w:snapToGrid/>
          <w:kern w:val="21"/>
          <w:sz w:val="32"/>
          <w:szCs w:val="32"/>
          <w:lang w:val="en-US" w:eastAsia="zh-CN"/>
        </w:rPr>
        <w:t>0</w:t>
      </w:r>
      <w:r>
        <w:rPr>
          <w:rFonts w:ascii="Times New Roman" w:hAnsi="Times New Roman" w:eastAsia="仿宋_GB2312" w:cs="Times New Roman"/>
          <w:snapToGrid/>
          <w:kern w:val="21"/>
          <w:sz w:val="32"/>
          <w:szCs w:val="32"/>
          <w:lang w:eastAsia="zh-CN"/>
        </w:rPr>
        <w:t>人、自收自支事业编制</w:t>
      </w:r>
      <w:r>
        <w:rPr>
          <w:rFonts w:hint="eastAsia" w:ascii="Times New Roman" w:hAnsi="Times New Roman" w:eastAsia="仿宋_GB2312" w:cs="Times New Roman"/>
          <w:snapToGrid/>
          <w:kern w:val="21"/>
          <w:sz w:val="32"/>
          <w:szCs w:val="32"/>
          <w:lang w:val="en-US" w:eastAsia="zh-CN"/>
        </w:rPr>
        <w:t>0</w:t>
      </w:r>
      <w:r>
        <w:rPr>
          <w:rFonts w:ascii="Times New Roman" w:hAnsi="Times New Roman" w:eastAsia="仿宋_GB2312" w:cs="Times New Roman"/>
          <w:snapToGrid/>
          <w:kern w:val="21"/>
          <w:sz w:val="32"/>
          <w:szCs w:val="32"/>
          <w:lang w:eastAsia="zh-CN"/>
        </w:rPr>
        <w:t>人。实有人数</w:t>
      </w:r>
      <w:r>
        <w:rPr>
          <w:rFonts w:hint="eastAsia" w:ascii="Times New Roman" w:hAnsi="Times New Roman" w:eastAsia="仿宋_GB2312" w:cs="Times New Roman"/>
          <w:snapToGrid/>
          <w:kern w:val="21"/>
          <w:sz w:val="32"/>
          <w:szCs w:val="32"/>
          <w:lang w:val="en-US" w:eastAsia="zh-CN"/>
        </w:rPr>
        <w:t>37</w:t>
      </w:r>
      <w:r>
        <w:rPr>
          <w:rFonts w:ascii="Times New Roman" w:hAnsi="Times New Roman" w:eastAsia="仿宋_GB2312" w:cs="Times New Roman"/>
          <w:snapToGrid/>
          <w:kern w:val="21"/>
          <w:sz w:val="32"/>
          <w:szCs w:val="32"/>
          <w:lang w:eastAsia="zh-CN"/>
        </w:rPr>
        <w:t>人，其中：在职人数小计</w:t>
      </w:r>
      <w:r>
        <w:rPr>
          <w:rFonts w:hint="eastAsia" w:ascii="Times New Roman" w:hAnsi="Times New Roman" w:eastAsia="仿宋_GB2312" w:cs="Times New Roman"/>
          <w:snapToGrid/>
          <w:kern w:val="21"/>
          <w:sz w:val="32"/>
          <w:szCs w:val="32"/>
          <w:lang w:val="en-US" w:eastAsia="zh-CN"/>
        </w:rPr>
        <w:t>37</w:t>
      </w:r>
      <w:r>
        <w:rPr>
          <w:rFonts w:ascii="Times New Roman" w:hAnsi="Times New Roman" w:eastAsia="仿宋_GB2312" w:cs="Times New Roman"/>
          <w:snapToGrid/>
          <w:kern w:val="21"/>
          <w:sz w:val="32"/>
          <w:szCs w:val="32"/>
          <w:lang w:eastAsia="zh-CN"/>
        </w:rPr>
        <w:t>人，包括行政人员</w:t>
      </w:r>
      <w:r>
        <w:rPr>
          <w:rFonts w:hint="eastAsia" w:ascii="Times New Roman" w:hAnsi="Times New Roman" w:eastAsia="仿宋_GB2312" w:cs="Times New Roman"/>
          <w:snapToGrid/>
          <w:kern w:val="21"/>
          <w:sz w:val="32"/>
          <w:szCs w:val="32"/>
          <w:lang w:val="en-US" w:eastAsia="zh-CN"/>
        </w:rPr>
        <w:t>0</w:t>
      </w:r>
      <w:r>
        <w:rPr>
          <w:rFonts w:ascii="Times New Roman" w:hAnsi="Times New Roman" w:eastAsia="仿宋_GB2312" w:cs="Times New Roman"/>
          <w:snapToGrid/>
          <w:kern w:val="21"/>
          <w:sz w:val="32"/>
          <w:szCs w:val="32"/>
          <w:lang w:eastAsia="zh-CN"/>
        </w:rPr>
        <w:t>人、参照公务员管理的事业编制</w:t>
      </w:r>
      <w:r>
        <w:rPr>
          <w:rFonts w:hint="eastAsia" w:ascii="Times New Roman" w:hAnsi="Times New Roman" w:eastAsia="仿宋_GB2312" w:cs="Times New Roman"/>
          <w:snapToGrid/>
          <w:kern w:val="21"/>
          <w:sz w:val="32"/>
          <w:szCs w:val="32"/>
          <w:lang w:val="en-US" w:eastAsia="zh-CN"/>
        </w:rPr>
        <w:t>0</w:t>
      </w:r>
      <w:r>
        <w:rPr>
          <w:rFonts w:ascii="Times New Roman" w:hAnsi="Times New Roman" w:eastAsia="仿宋_GB2312" w:cs="Times New Roman"/>
          <w:snapToGrid/>
          <w:kern w:val="21"/>
          <w:sz w:val="32"/>
          <w:szCs w:val="32"/>
          <w:lang w:eastAsia="zh-CN"/>
        </w:rPr>
        <w:t>人、全部补助事业人员</w:t>
      </w:r>
      <w:r>
        <w:rPr>
          <w:rFonts w:hint="eastAsia" w:ascii="Times New Roman" w:hAnsi="Times New Roman" w:eastAsia="仿宋_GB2312" w:cs="Times New Roman"/>
          <w:snapToGrid/>
          <w:kern w:val="21"/>
          <w:sz w:val="32"/>
          <w:szCs w:val="32"/>
          <w:lang w:val="en-US" w:eastAsia="zh-CN"/>
        </w:rPr>
        <w:t>37</w:t>
      </w:r>
      <w:r>
        <w:rPr>
          <w:rFonts w:ascii="Times New Roman" w:hAnsi="Times New Roman" w:eastAsia="仿宋_GB2312" w:cs="Times New Roman"/>
          <w:snapToGrid/>
          <w:kern w:val="21"/>
          <w:sz w:val="32"/>
          <w:szCs w:val="32"/>
          <w:lang w:eastAsia="zh-CN"/>
        </w:rPr>
        <w:t>人、部分补助事业人员</w:t>
      </w:r>
      <w:r>
        <w:rPr>
          <w:rFonts w:hint="eastAsia" w:ascii="Times New Roman" w:hAnsi="Times New Roman" w:eastAsia="仿宋_GB2312" w:cs="Times New Roman"/>
          <w:snapToGrid/>
          <w:kern w:val="21"/>
          <w:sz w:val="32"/>
          <w:szCs w:val="32"/>
          <w:lang w:val="en-US" w:eastAsia="zh-CN"/>
        </w:rPr>
        <w:t>0</w:t>
      </w:r>
      <w:r>
        <w:rPr>
          <w:rFonts w:ascii="Times New Roman" w:hAnsi="Times New Roman" w:eastAsia="仿宋_GB2312" w:cs="Times New Roman"/>
          <w:snapToGrid/>
          <w:kern w:val="21"/>
          <w:sz w:val="32"/>
          <w:szCs w:val="32"/>
          <w:lang w:eastAsia="zh-CN"/>
        </w:rPr>
        <w:t>人、自收自支事业人员</w:t>
      </w:r>
      <w:r>
        <w:rPr>
          <w:rFonts w:hint="eastAsia" w:ascii="Times New Roman" w:hAnsi="Times New Roman" w:eastAsia="仿宋_GB2312" w:cs="Times New Roman"/>
          <w:snapToGrid/>
          <w:kern w:val="21"/>
          <w:sz w:val="32"/>
          <w:szCs w:val="32"/>
          <w:lang w:val="en-US" w:eastAsia="zh-CN"/>
        </w:rPr>
        <w:t>0</w:t>
      </w:r>
      <w:r>
        <w:rPr>
          <w:rFonts w:ascii="Times New Roman" w:hAnsi="Times New Roman" w:eastAsia="仿宋_GB2312" w:cs="Times New Roman"/>
          <w:snapToGrid/>
          <w:kern w:val="21"/>
          <w:sz w:val="32"/>
          <w:szCs w:val="32"/>
          <w:lang w:eastAsia="zh-CN"/>
        </w:rPr>
        <w:t>人；离休人数小计</w:t>
      </w:r>
      <w:r>
        <w:rPr>
          <w:rFonts w:hint="eastAsia" w:ascii="Times New Roman" w:hAnsi="Times New Roman" w:eastAsia="仿宋_GB2312" w:cs="Times New Roman"/>
          <w:snapToGrid/>
          <w:kern w:val="21"/>
          <w:sz w:val="32"/>
          <w:szCs w:val="32"/>
          <w:lang w:val="en-US" w:eastAsia="zh-CN"/>
        </w:rPr>
        <w:t>0</w:t>
      </w:r>
      <w:r>
        <w:rPr>
          <w:rFonts w:ascii="Times New Roman" w:hAnsi="Times New Roman" w:eastAsia="仿宋_GB2312" w:cs="Times New Roman"/>
          <w:snapToGrid/>
          <w:kern w:val="21"/>
          <w:sz w:val="32"/>
          <w:szCs w:val="32"/>
          <w:lang w:eastAsia="zh-CN"/>
        </w:rPr>
        <w:t>人；退休人员小计</w:t>
      </w:r>
      <w:r>
        <w:rPr>
          <w:rFonts w:hint="eastAsia" w:ascii="Times New Roman" w:hAnsi="Times New Roman" w:eastAsia="仿宋_GB2312" w:cs="Times New Roman"/>
          <w:snapToGrid/>
          <w:kern w:val="21"/>
          <w:sz w:val="32"/>
          <w:szCs w:val="32"/>
          <w:lang w:val="en-US" w:eastAsia="zh-CN"/>
        </w:rPr>
        <w:t>31</w:t>
      </w:r>
      <w:r>
        <w:rPr>
          <w:rFonts w:ascii="Times New Roman" w:hAnsi="Times New Roman" w:eastAsia="仿宋_GB2312" w:cs="Times New Roman"/>
          <w:snapToGrid/>
          <w:kern w:val="21"/>
          <w:sz w:val="32"/>
          <w:szCs w:val="32"/>
          <w:lang w:eastAsia="zh-CN"/>
        </w:rPr>
        <w:t>人。</w:t>
      </w:r>
    </w:p>
    <w:p w14:paraId="43338564">
      <w:pPr>
        <w:widowControl w:val="0"/>
        <w:kinsoku/>
        <w:overflowPunct w:val="0"/>
        <w:topLinePunct/>
        <w:autoSpaceDE/>
        <w:autoSpaceDN/>
        <w:spacing w:line="560" w:lineRule="exact"/>
        <w:jc w:val="both"/>
        <w:rPr>
          <w:rFonts w:ascii="Times New Roman" w:hAnsi="Times New Roman" w:eastAsia="仿宋_GB2312" w:cs="Times New Roman"/>
          <w:b/>
          <w:bCs/>
          <w:snapToGrid/>
          <w:kern w:val="21"/>
          <w:sz w:val="32"/>
          <w:szCs w:val="32"/>
          <w:lang w:eastAsia="zh-CN"/>
        </w:rPr>
      </w:pPr>
    </w:p>
    <w:p w14:paraId="14B7778C">
      <w:pPr>
        <w:widowControl w:val="0"/>
        <w:kinsoku/>
        <w:overflowPunct w:val="0"/>
        <w:topLinePunct/>
        <w:autoSpaceDE/>
        <w:autoSpaceDN/>
        <w:spacing w:line="560" w:lineRule="exact"/>
        <w:jc w:val="both"/>
        <w:rPr>
          <w:rFonts w:ascii="Times New Roman" w:hAnsi="Times New Roman" w:eastAsia="仿宋_GB2312" w:cs="Times New Roman"/>
          <w:b/>
          <w:bCs/>
          <w:snapToGrid/>
          <w:kern w:val="21"/>
          <w:sz w:val="32"/>
          <w:szCs w:val="32"/>
          <w:lang w:eastAsia="zh-CN"/>
        </w:rPr>
      </w:pPr>
    </w:p>
    <w:p w14:paraId="378BB390">
      <w:pPr>
        <w:widowControl w:val="0"/>
        <w:kinsoku/>
        <w:overflowPunct w:val="0"/>
        <w:topLinePunct/>
        <w:autoSpaceDE/>
        <w:autoSpaceDN/>
        <w:spacing w:line="560" w:lineRule="exact"/>
        <w:jc w:val="both"/>
        <w:rPr>
          <w:rFonts w:ascii="Times New Roman" w:hAnsi="Times New Roman" w:eastAsia="仿宋_GB2312" w:cs="Times New Roman"/>
          <w:b/>
          <w:bCs/>
          <w:snapToGrid/>
          <w:kern w:val="21"/>
          <w:sz w:val="32"/>
          <w:szCs w:val="32"/>
          <w:lang w:eastAsia="zh-CN"/>
        </w:rPr>
      </w:pPr>
    </w:p>
    <w:p w14:paraId="6A259C22">
      <w:pPr>
        <w:widowControl w:val="0"/>
        <w:kinsoku/>
        <w:overflowPunct w:val="0"/>
        <w:topLinePunct/>
        <w:autoSpaceDE/>
        <w:autoSpaceDN/>
        <w:spacing w:line="560" w:lineRule="exact"/>
        <w:jc w:val="both"/>
        <w:rPr>
          <w:rFonts w:ascii="Times New Roman" w:hAnsi="Times New Roman" w:eastAsia="仿宋_GB2312" w:cs="Times New Roman"/>
          <w:b/>
          <w:bCs/>
          <w:snapToGrid/>
          <w:kern w:val="21"/>
          <w:sz w:val="32"/>
          <w:szCs w:val="32"/>
          <w:lang w:eastAsia="zh-CN"/>
        </w:rPr>
      </w:pPr>
    </w:p>
    <w:p w14:paraId="799E7CCE">
      <w:pPr>
        <w:widowControl w:val="0"/>
        <w:kinsoku/>
        <w:overflowPunct w:val="0"/>
        <w:topLinePunct/>
        <w:autoSpaceDE/>
        <w:autoSpaceDN/>
        <w:spacing w:line="560" w:lineRule="exact"/>
        <w:jc w:val="center"/>
        <w:rPr>
          <w:rFonts w:ascii="Times New Roman" w:hAnsi="Times New Roman" w:eastAsia="仿宋_GB2312" w:cs="Times New Roman"/>
          <w:snapToGrid/>
          <w:kern w:val="21"/>
          <w:sz w:val="32"/>
          <w:szCs w:val="32"/>
          <w:lang w:eastAsia="zh-CN"/>
        </w:rPr>
      </w:pPr>
      <w:r>
        <w:rPr>
          <w:rFonts w:hint="eastAsia" w:ascii="黑体" w:hAnsi="黑体" w:eastAsia="黑体" w:cs="黑体"/>
          <w:b/>
          <w:bCs/>
          <w:snapToGrid/>
          <w:kern w:val="21"/>
          <w:sz w:val="32"/>
          <w:szCs w:val="32"/>
          <w:lang w:eastAsia="zh-CN"/>
        </w:rPr>
        <w:t>第二部分 南昌市新建区文化事业发展中心202</w:t>
      </w:r>
      <w:r>
        <w:rPr>
          <w:rFonts w:hint="eastAsia" w:ascii="黑体" w:hAnsi="黑体" w:eastAsia="黑体" w:cs="黑体"/>
          <w:b/>
          <w:bCs/>
          <w:snapToGrid/>
          <w:kern w:val="21"/>
          <w:sz w:val="32"/>
          <w:szCs w:val="32"/>
          <w:lang w:val="en-US" w:eastAsia="zh-CN"/>
        </w:rPr>
        <w:t>5</w:t>
      </w:r>
      <w:r>
        <w:rPr>
          <w:rFonts w:hint="eastAsia" w:ascii="黑体" w:hAnsi="黑体" w:eastAsia="黑体" w:cs="黑体"/>
          <w:b/>
          <w:bCs/>
          <w:snapToGrid/>
          <w:kern w:val="21"/>
          <w:sz w:val="32"/>
          <w:szCs w:val="32"/>
          <w:lang w:eastAsia="zh-CN"/>
        </w:rPr>
        <w:t>年单位预算表</w:t>
      </w:r>
    </w:p>
    <w:p w14:paraId="729B7F36">
      <w:pPr>
        <w:pStyle w:val="2"/>
        <w:widowControl w:val="0"/>
        <w:kinsoku/>
        <w:overflowPunct w:val="0"/>
        <w:topLinePunct/>
        <w:autoSpaceDE/>
        <w:autoSpaceDN/>
        <w:spacing w:line="560" w:lineRule="exact"/>
        <w:ind w:firstLine="640" w:firstLineChars="200"/>
        <w:jc w:val="both"/>
        <w:rPr>
          <w:rFonts w:ascii="Times New Roman" w:hAnsi="Times New Roman" w:eastAsia="仿宋_GB2312" w:cs="Times New Roman"/>
          <w:snapToGrid/>
          <w:kern w:val="21"/>
          <w:sz w:val="32"/>
          <w:szCs w:val="32"/>
          <w:lang w:eastAsia="zh-CN"/>
        </w:rPr>
      </w:pPr>
      <w:r>
        <w:rPr>
          <w:rFonts w:ascii="Times New Roman" w:hAnsi="Times New Roman" w:eastAsia="仿宋_GB2312" w:cs="Times New Roman"/>
          <w:snapToGrid/>
          <w:kern w:val="21"/>
          <w:sz w:val="32"/>
          <w:szCs w:val="32"/>
          <w:lang w:eastAsia="zh-CN"/>
        </w:rPr>
        <w:t>（详见附表）</w:t>
      </w:r>
    </w:p>
    <w:p w14:paraId="07F0AFF2">
      <w:pPr>
        <w:widowControl w:val="0"/>
        <w:kinsoku/>
        <w:overflowPunct w:val="0"/>
        <w:topLinePunct/>
        <w:autoSpaceDE/>
        <w:autoSpaceDN/>
        <w:spacing w:line="560" w:lineRule="exact"/>
        <w:jc w:val="center"/>
        <w:rPr>
          <w:rFonts w:ascii="黑体" w:hAnsi="黑体" w:eastAsia="黑体" w:cs="黑体"/>
          <w:b/>
          <w:bCs/>
          <w:snapToGrid/>
          <w:kern w:val="21"/>
          <w:sz w:val="32"/>
          <w:szCs w:val="32"/>
          <w:lang w:eastAsia="zh-CN"/>
        </w:rPr>
      </w:pPr>
      <w:r>
        <w:rPr>
          <w:rFonts w:hint="eastAsia" w:ascii="黑体" w:hAnsi="黑体" w:eastAsia="黑体" w:cs="黑体"/>
          <w:b/>
          <w:bCs/>
          <w:snapToGrid/>
          <w:kern w:val="21"/>
          <w:sz w:val="32"/>
          <w:szCs w:val="32"/>
          <w:lang w:eastAsia="zh-CN"/>
        </w:rPr>
        <w:t>第三部分 南昌市新建区文化事业发展中心202</w:t>
      </w:r>
      <w:r>
        <w:rPr>
          <w:rFonts w:hint="eastAsia" w:ascii="黑体" w:hAnsi="黑体" w:eastAsia="黑体" w:cs="黑体"/>
          <w:b/>
          <w:bCs/>
          <w:snapToGrid/>
          <w:kern w:val="21"/>
          <w:sz w:val="32"/>
          <w:szCs w:val="32"/>
          <w:lang w:val="en-US" w:eastAsia="zh-CN"/>
        </w:rPr>
        <w:t>5</w:t>
      </w:r>
      <w:r>
        <w:rPr>
          <w:rFonts w:hint="eastAsia" w:ascii="黑体" w:hAnsi="黑体" w:eastAsia="黑体" w:cs="黑体"/>
          <w:b/>
          <w:bCs/>
          <w:snapToGrid/>
          <w:kern w:val="21"/>
          <w:sz w:val="32"/>
          <w:szCs w:val="32"/>
          <w:lang w:eastAsia="zh-CN"/>
        </w:rPr>
        <w:t>年单位预算情况说明</w:t>
      </w:r>
    </w:p>
    <w:p w14:paraId="5EA92198">
      <w:pPr>
        <w:widowControl w:val="0"/>
        <w:kinsoku/>
        <w:overflowPunct w:val="0"/>
        <w:topLinePunct/>
        <w:autoSpaceDE/>
        <w:autoSpaceDN/>
        <w:spacing w:line="560" w:lineRule="exact"/>
        <w:jc w:val="both"/>
        <w:rPr>
          <w:rFonts w:ascii="Times New Roman" w:hAnsi="Times New Roman" w:eastAsia="仿宋_GB2312" w:cs="Times New Roman"/>
          <w:snapToGrid/>
          <w:kern w:val="21"/>
          <w:sz w:val="32"/>
          <w:szCs w:val="32"/>
          <w:lang w:eastAsia="zh-CN"/>
        </w:rPr>
      </w:pPr>
    </w:p>
    <w:p w14:paraId="30BB73A8">
      <w:pPr>
        <w:widowControl w:val="0"/>
        <w:kinsoku/>
        <w:overflowPunct w:val="0"/>
        <w:topLinePunct/>
        <w:autoSpaceDE/>
        <w:autoSpaceDN/>
        <w:spacing w:line="560" w:lineRule="exact"/>
        <w:ind w:firstLine="640" w:firstLineChars="200"/>
        <w:jc w:val="both"/>
        <w:rPr>
          <w:rFonts w:ascii="黑体" w:hAnsi="黑体" w:eastAsia="黑体" w:cs="黑体"/>
          <w:snapToGrid/>
          <w:kern w:val="21"/>
          <w:sz w:val="32"/>
          <w:szCs w:val="32"/>
          <w:lang w:eastAsia="zh-CN"/>
        </w:rPr>
      </w:pPr>
      <w:r>
        <w:rPr>
          <w:rFonts w:hint="eastAsia" w:ascii="黑体" w:hAnsi="黑体" w:eastAsia="黑体" w:cs="黑体"/>
          <w:snapToGrid/>
          <w:kern w:val="21"/>
          <w:sz w:val="32"/>
          <w:szCs w:val="32"/>
          <w:lang w:eastAsia="zh-CN"/>
        </w:rPr>
        <w:t>一、202</w:t>
      </w:r>
      <w:r>
        <w:rPr>
          <w:rFonts w:hint="eastAsia" w:ascii="黑体" w:hAnsi="黑体" w:eastAsia="黑体" w:cs="黑体"/>
          <w:snapToGrid/>
          <w:kern w:val="21"/>
          <w:sz w:val="32"/>
          <w:szCs w:val="32"/>
          <w:lang w:val="en-US" w:eastAsia="zh-CN"/>
        </w:rPr>
        <w:t>5</w:t>
      </w:r>
      <w:r>
        <w:rPr>
          <w:rFonts w:hint="eastAsia" w:ascii="黑体" w:hAnsi="黑体" w:eastAsia="黑体" w:cs="黑体"/>
          <w:snapToGrid/>
          <w:kern w:val="21"/>
          <w:sz w:val="32"/>
          <w:szCs w:val="32"/>
          <w:lang w:eastAsia="zh-CN"/>
        </w:rPr>
        <w:t>年单位预算收支情况说明</w:t>
      </w:r>
    </w:p>
    <w:p w14:paraId="73593881">
      <w:pPr>
        <w:widowControl w:val="0"/>
        <w:kinsoku/>
        <w:overflowPunct w:val="0"/>
        <w:topLinePunct/>
        <w:autoSpaceDE/>
        <w:autoSpaceDN/>
        <w:spacing w:line="560" w:lineRule="exact"/>
        <w:ind w:firstLine="640" w:firstLineChars="200"/>
        <w:jc w:val="both"/>
        <w:rPr>
          <w:rFonts w:ascii="楷体_GB2312" w:hAnsi="楷体_GB2312" w:eastAsia="楷体_GB2312" w:cs="楷体_GB2312"/>
          <w:snapToGrid/>
          <w:kern w:val="21"/>
          <w:sz w:val="32"/>
          <w:szCs w:val="32"/>
          <w:lang w:eastAsia="zh-CN"/>
        </w:rPr>
      </w:pPr>
      <w:r>
        <w:rPr>
          <w:rFonts w:hint="eastAsia" w:ascii="楷体_GB2312" w:hAnsi="楷体_GB2312" w:eastAsia="楷体_GB2312" w:cs="楷体_GB2312"/>
          <w:snapToGrid/>
          <w:kern w:val="21"/>
          <w:sz w:val="32"/>
          <w:szCs w:val="32"/>
          <w:lang w:eastAsia="zh-CN"/>
        </w:rPr>
        <w:t>（一）收入预算情况</w:t>
      </w:r>
    </w:p>
    <w:p w14:paraId="16580893">
      <w:pPr>
        <w:pStyle w:val="2"/>
        <w:widowControl w:val="0"/>
        <w:kinsoku/>
        <w:overflowPunct w:val="0"/>
        <w:topLinePunct/>
        <w:autoSpaceDE/>
        <w:autoSpaceDN/>
        <w:spacing w:line="560" w:lineRule="exact"/>
        <w:ind w:firstLine="640" w:firstLineChars="200"/>
        <w:jc w:val="both"/>
        <w:rPr>
          <w:rFonts w:ascii="Times New Roman" w:hAnsi="Times New Roman" w:eastAsia="仿宋_GB2312" w:cs="Times New Roman"/>
          <w:snapToGrid/>
          <w:kern w:val="21"/>
          <w:sz w:val="32"/>
          <w:szCs w:val="32"/>
          <w:lang w:eastAsia="zh-CN"/>
        </w:rPr>
      </w:pPr>
      <w:r>
        <w:rPr>
          <w:rFonts w:ascii="Times New Roman" w:hAnsi="Times New Roman" w:eastAsia="仿宋_GB2312" w:cs="Times New Roman"/>
          <w:snapToGrid/>
          <w:kern w:val="21"/>
          <w:sz w:val="32"/>
          <w:szCs w:val="32"/>
          <w:lang w:eastAsia="zh-CN"/>
        </w:rPr>
        <w:t>202</w:t>
      </w:r>
      <w:r>
        <w:rPr>
          <w:rFonts w:hint="eastAsia" w:ascii="Times New Roman" w:hAnsi="Times New Roman" w:eastAsia="仿宋_GB2312" w:cs="Times New Roman"/>
          <w:snapToGrid/>
          <w:kern w:val="21"/>
          <w:sz w:val="32"/>
          <w:szCs w:val="32"/>
          <w:lang w:val="en-US" w:eastAsia="zh-CN"/>
        </w:rPr>
        <w:t>5</w:t>
      </w:r>
      <w:r>
        <w:rPr>
          <w:rFonts w:ascii="Times New Roman" w:hAnsi="Times New Roman" w:eastAsia="仿宋_GB2312" w:cs="Times New Roman"/>
          <w:snapToGrid/>
          <w:kern w:val="21"/>
          <w:sz w:val="32"/>
          <w:szCs w:val="32"/>
          <w:lang w:eastAsia="zh-CN"/>
        </w:rPr>
        <w:t>年</w:t>
      </w:r>
      <w:r>
        <w:rPr>
          <w:rFonts w:hint="eastAsia" w:ascii="Times New Roman" w:hAnsi="Times New Roman" w:eastAsia="仿宋_GB2312" w:cs="Times New Roman"/>
          <w:snapToGrid/>
          <w:kern w:val="21"/>
          <w:sz w:val="32"/>
          <w:szCs w:val="32"/>
          <w:lang w:eastAsia="zh-CN"/>
        </w:rPr>
        <w:t>南昌市新建区文化事业发展中心</w:t>
      </w:r>
      <w:r>
        <w:rPr>
          <w:rFonts w:ascii="Times New Roman" w:hAnsi="Times New Roman" w:eastAsia="仿宋_GB2312" w:cs="Times New Roman"/>
          <w:snapToGrid/>
          <w:kern w:val="21"/>
          <w:sz w:val="32"/>
          <w:szCs w:val="32"/>
          <w:lang w:eastAsia="zh-CN"/>
        </w:rPr>
        <w:t>单位收入预算总额为</w:t>
      </w:r>
      <w:r>
        <w:rPr>
          <w:rFonts w:hint="eastAsia" w:ascii="Times New Roman" w:hAnsi="Times New Roman" w:eastAsia="仿宋_GB2312" w:cs="Times New Roman"/>
          <w:snapToGrid/>
          <w:kern w:val="21"/>
          <w:sz w:val="32"/>
          <w:szCs w:val="32"/>
          <w:lang w:val="en-US" w:eastAsia="zh-CN"/>
        </w:rPr>
        <w:t>1199.68</w:t>
      </w:r>
      <w:r>
        <w:rPr>
          <w:rFonts w:ascii="Times New Roman" w:hAnsi="Times New Roman" w:eastAsia="仿宋_GB2312" w:cs="Times New Roman"/>
          <w:snapToGrid/>
          <w:kern w:val="21"/>
          <w:sz w:val="32"/>
          <w:szCs w:val="32"/>
          <w:lang w:eastAsia="zh-CN"/>
        </w:rPr>
        <w:t>万元，较上年减少</w:t>
      </w:r>
      <w:r>
        <w:rPr>
          <w:rFonts w:hint="eastAsia" w:ascii="Times New Roman" w:hAnsi="Times New Roman" w:eastAsia="仿宋_GB2312" w:cs="Times New Roman"/>
          <w:snapToGrid/>
          <w:kern w:val="21"/>
          <w:sz w:val="32"/>
          <w:szCs w:val="32"/>
          <w:lang w:val="en-US" w:eastAsia="zh-CN"/>
        </w:rPr>
        <w:t>19.42</w:t>
      </w:r>
      <w:r>
        <w:rPr>
          <w:rFonts w:ascii="Times New Roman" w:hAnsi="Times New Roman" w:eastAsia="仿宋_GB2312" w:cs="Times New Roman"/>
          <w:snapToGrid/>
          <w:kern w:val="21"/>
          <w:sz w:val="32"/>
          <w:szCs w:val="32"/>
          <w:lang w:eastAsia="zh-CN"/>
        </w:rPr>
        <w:t>万元，下降</w:t>
      </w:r>
      <w:r>
        <w:rPr>
          <w:rFonts w:hint="eastAsia" w:ascii="Times New Roman" w:hAnsi="Times New Roman" w:eastAsia="仿宋_GB2312" w:cs="Times New Roman"/>
          <w:snapToGrid/>
          <w:kern w:val="21"/>
          <w:sz w:val="32"/>
          <w:szCs w:val="32"/>
          <w:lang w:val="en-US" w:eastAsia="zh-CN"/>
        </w:rPr>
        <w:t>1.59</w:t>
      </w:r>
      <w:r>
        <w:rPr>
          <w:rFonts w:ascii="Times New Roman" w:hAnsi="Times New Roman" w:eastAsia="仿宋_GB2312" w:cs="Times New Roman"/>
          <w:snapToGrid/>
          <w:kern w:val="21"/>
          <w:sz w:val="32"/>
          <w:szCs w:val="32"/>
          <w:lang w:eastAsia="zh-CN"/>
        </w:rPr>
        <w:t>%</w:t>
      </w:r>
      <w:r>
        <w:rPr>
          <w:rFonts w:hint="eastAsia" w:ascii="Times New Roman" w:hAnsi="Times New Roman" w:eastAsia="仿宋_GB2312" w:cs="Times New Roman"/>
          <w:snapToGrid/>
          <w:kern w:val="21"/>
          <w:sz w:val="32"/>
          <w:szCs w:val="32"/>
          <w:lang w:eastAsia="zh-CN"/>
        </w:rPr>
        <w:t>，</w:t>
      </w:r>
      <w:r>
        <w:rPr>
          <w:rFonts w:ascii="Times New Roman" w:hAnsi="Times New Roman" w:eastAsia="仿宋_GB2312" w:cs="Times New Roman"/>
          <w:snapToGrid/>
          <w:kern w:val="21"/>
          <w:sz w:val="32"/>
          <w:szCs w:val="32"/>
          <w:lang w:eastAsia="zh-CN"/>
        </w:rPr>
        <w:t>主要原因是</w:t>
      </w:r>
      <w:r>
        <w:rPr>
          <w:rFonts w:hint="eastAsia" w:ascii="Times New Roman" w:hAnsi="Times New Roman" w:eastAsia="仿宋_GB2312" w:cs="Times New Roman"/>
          <w:snapToGrid/>
          <w:kern w:val="21"/>
          <w:sz w:val="32"/>
          <w:szCs w:val="32"/>
          <w:lang w:eastAsia="zh-CN"/>
        </w:rPr>
        <w:t>：落实过紧日子，压缩一般性支出</w:t>
      </w:r>
      <w:r>
        <w:rPr>
          <w:rFonts w:ascii="Times New Roman" w:hAnsi="Times New Roman" w:eastAsia="仿宋_GB2312" w:cs="Times New Roman"/>
          <w:snapToGrid/>
          <w:kern w:val="21"/>
          <w:sz w:val="32"/>
          <w:szCs w:val="32"/>
          <w:lang w:eastAsia="zh-CN"/>
        </w:rPr>
        <w:t>。其中：财政拨款收入</w:t>
      </w:r>
      <w:r>
        <w:rPr>
          <w:rFonts w:hint="eastAsia" w:ascii="Times New Roman" w:hAnsi="Times New Roman" w:eastAsia="仿宋_GB2312" w:cs="Times New Roman"/>
          <w:snapToGrid/>
          <w:kern w:val="21"/>
          <w:sz w:val="32"/>
          <w:szCs w:val="32"/>
          <w:lang w:val="en-US" w:eastAsia="zh-CN"/>
        </w:rPr>
        <w:t>949.68</w:t>
      </w:r>
      <w:r>
        <w:rPr>
          <w:rFonts w:ascii="Times New Roman" w:hAnsi="Times New Roman" w:eastAsia="仿宋_GB2312" w:cs="Times New Roman"/>
          <w:snapToGrid/>
          <w:kern w:val="21"/>
          <w:sz w:val="32"/>
          <w:szCs w:val="32"/>
          <w:lang w:eastAsia="zh-CN"/>
        </w:rPr>
        <w:t>万元，较上年预算安排减少</w:t>
      </w:r>
      <w:r>
        <w:rPr>
          <w:rFonts w:hint="eastAsia" w:ascii="Times New Roman" w:hAnsi="Times New Roman" w:eastAsia="仿宋_GB2312" w:cs="Times New Roman"/>
          <w:snapToGrid/>
          <w:kern w:val="21"/>
          <w:sz w:val="32"/>
          <w:szCs w:val="32"/>
          <w:lang w:val="en-US" w:eastAsia="zh-CN"/>
        </w:rPr>
        <w:t>19.43</w:t>
      </w:r>
      <w:r>
        <w:rPr>
          <w:rFonts w:ascii="Times New Roman" w:hAnsi="Times New Roman" w:eastAsia="仿宋_GB2312" w:cs="Times New Roman"/>
          <w:snapToGrid/>
          <w:kern w:val="21"/>
          <w:sz w:val="32"/>
          <w:szCs w:val="32"/>
          <w:lang w:eastAsia="zh-CN"/>
        </w:rPr>
        <w:t>万元，主要原因是</w:t>
      </w:r>
      <w:r>
        <w:rPr>
          <w:rFonts w:hint="eastAsia" w:ascii="Times New Roman" w:hAnsi="Times New Roman" w:eastAsia="仿宋_GB2312" w:cs="Times New Roman"/>
          <w:snapToGrid/>
          <w:kern w:val="21"/>
          <w:sz w:val="32"/>
          <w:szCs w:val="32"/>
          <w:lang w:eastAsia="zh-CN"/>
        </w:rPr>
        <w:t>：落实过紧日子，压缩一般性支出；</w:t>
      </w:r>
      <w:r>
        <w:rPr>
          <w:rFonts w:ascii="Times New Roman" w:hAnsi="Times New Roman" w:eastAsia="仿宋_GB2312" w:cs="Times New Roman"/>
          <w:snapToGrid/>
          <w:kern w:val="21"/>
          <w:sz w:val="32"/>
          <w:szCs w:val="32"/>
          <w:lang w:eastAsia="zh-CN"/>
        </w:rPr>
        <w:t>其他收入</w:t>
      </w:r>
      <w:r>
        <w:rPr>
          <w:rFonts w:hint="eastAsia" w:ascii="Times New Roman" w:hAnsi="Times New Roman" w:eastAsia="仿宋_GB2312" w:cs="Times New Roman"/>
          <w:snapToGrid/>
          <w:kern w:val="21"/>
          <w:sz w:val="32"/>
          <w:szCs w:val="32"/>
          <w:lang w:val="en-US" w:eastAsia="zh-CN"/>
        </w:rPr>
        <w:t>250</w:t>
      </w:r>
      <w:r>
        <w:rPr>
          <w:rFonts w:ascii="Times New Roman" w:hAnsi="Times New Roman" w:eastAsia="仿宋_GB2312" w:cs="Times New Roman"/>
          <w:snapToGrid/>
          <w:kern w:val="21"/>
          <w:sz w:val="32"/>
          <w:szCs w:val="32"/>
          <w:lang w:eastAsia="zh-CN"/>
        </w:rPr>
        <w:t>万元，较上年预算安排</w:t>
      </w:r>
      <w:r>
        <w:rPr>
          <w:rFonts w:hint="eastAsia" w:ascii="Times New Roman" w:hAnsi="Times New Roman" w:eastAsia="仿宋_GB2312" w:cs="Times New Roman"/>
          <w:snapToGrid/>
          <w:kern w:val="21"/>
          <w:sz w:val="32"/>
          <w:szCs w:val="32"/>
          <w:lang w:val="en-US" w:eastAsia="zh-CN"/>
        </w:rPr>
        <w:t>一致</w:t>
      </w:r>
      <w:r>
        <w:rPr>
          <w:rFonts w:ascii="Times New Roman" w:hAnsi="Times New Roman" w:eastAsia="仿宋_GB2312" w:cs="Times New Roman"/>
          <w:snapToGrid/>
          <w:kern w:val="21"/>
          <w:sz w:val="32"/>
          <w:szCs w:val="32"/>
          <w:lang w:eastAsia="zh-CN"/>
        </w:rPr>
        <w:t>。</w:t>
      </w:r>
    </w:p>
    <w:p w14:paraId="413A461D">
      <w:pPr>
        <w:widowControl w:val="0"/>
        <w:kinsoku/>
        <w:overflowPunct w:val="0"/>
        <w:topLinePunct/>
        <w:autoSpaceDE/>
        <w:autoSpaceDN/>
        <w:spacing w:line="560" w:lineRule="exact"/>
        <w:ind w:firstLine="640" w:firstLineChars="200"/>
        <w:jc w:val="both"/>
        <w:rPr>
          <w:rFonts w:ascii="楷体_GB2312" w:hAnsi="楷体_GB2312" w:eastAsia="楷体_GB2312" w:cs="楷体_GB2312"/>
          <w:snapToGrid/>
          <w:kern w:val="21"/>
          <w:sz w:val="32"/>
          <w:szCs w:val="32"/>
          <w:lang w:eastAsia="zh-CN"/>
        </w:rPr>
      </w:pPr>
      <w:r>
        <w:rPr>
          <w:rFonts w:hint="eastAsia" w:ascii="楷体_GB2312" w:hAnsi="楷体_GB2312" w:eastAsia="楷体_GB2312" w:cs="楷体_GB2312"/>
          <w:snapToGrid/>
          <w:kern w:val="21"/>
          <w:sz w:val="32"/>
          <w:szCs w:val="32"/>
          <w:lang w:eastAsia="zh-CN"/>
        </w:rPr>
        <w:t>（二）支出预算情况</w:t>
      </w:r>
    </w:p>
    <w:p w14:paraId="04871FC6">
      <w:pPr>
        <w:pStyle w:val="2"/>
        <w:widowControl w:val="0"/>
        <w:kinsoku/>
        <w:overflowPunct w:val="0"/>
        <w:topLinePunct/>
        <w:autoSpaceDE/>
        <w:autoSpaceDN/>
        <w:spacing w:line="560" w:lineRule="exact"/>
        <w:ind w:firstLine="629"/>
        <w:jc w:val="both"/>
        <w:rPr>
          <w:rFonts w:ascii="Times New Roman" w:hAnsi="Times New Roman" w:eastAsia="仿宋_GB2312" w:cs="Times New Roman"/>
          <w:snapToGrid/>
          <w:kern w:val="21"/>
          <w:sz w:val="32"/>
          <w:szCs w:val="32"/>
          <w:lang w:eastAsia="zh-CN"/>
        </w:rPr>
      </w:pPr>
      <w:r>
        <w:rPr>
          <w:rFonts w:ascii="Times New Roman" w:hAnsi="Times New Roman" w:eastAsia="仿宋_GB2312" w:cs="Times New Roman"/>
          <w:snapToGrid/>
          <w:kern w:val="21"/>
          <w:sz w:val="32"/>
          <w:szCs w:val="32"/>
          <w:lang w:eastAsia="zh-CN"/>
        </w:rPr>
        <w:t>202</w:t>
      </w:r>
      <w:r>
        <w:rPr>
          <w:rFonts w:hint="eastAsia" w:ascii="Times New Roman" w:hAnsi="Times New Roman" w:eastAsia="仿宋_GB2312" w:cs="Times New Roman"/>
          <w:snapToGrid/>
          <w:kern w:val="21"/>
          <w:sz w:val="32"/>
          <w:szCs w:val="32"/>
          <w:lang w:val="en-US" w:eastAsia="zh-CN"/>
        </w:rPr>
        <w:t>5</w:t>
      </w:r>
      <w:r>
        <w:rPr>
          <w:rFonts w:ascii="Times New Roman" w:hAnsi="Times New Roman" w:eastAsia="仿宋_GB2312" w:cs="Times New Roman"/>
          <w:snapToGrid/>
          <w:kern w:val="21"/>
          <w:sz w:val="32"/>
          <w:szCs w:val="32"/>
          <w:lang w:eastAsia="zh-CN"/>
        </w:rPr>
        <w:t>年</w:t>
      </w:r>
      <w:r>
        <w:rPr>
          <w:rFonts w:hint="eastAsia" w:ascii="Times New Roman" w:hAnsi="Times New Roman" w:eastAsia="仿宋_GB2312" w:cs="Times New Roman"/>
          <w:snapToGrid/>
          <w:kern w:val="21"/>
          <w:sz w:val="32"/>
          <w:szCs w:val="32"/>
          <w:lang w:eastAsia="zh-CN"/>
        </w:rPr>
        <w:t>南昌市新建区文化事业发展中心</w:t>
      </w:r>
      <w:r>
        <w:rPr>
          <w:rFonts w:ascii="Times New Roman" w:hAnsi="Times New Roman" w:eastAsia="仿宋_GB2312" w:cs="Times New Roman"/>
          <w:snapToGrid/>
          <w:kern w:val="21"/>
          <w:sz w:val="32"/>
          <w:szCs w:val="32"/>
          <w:lang w:eastAsia="zh-CN"/>
        </w:rPr>
        <w:t>单位支出预算总额为</w:t>
      </w:r>
      <w:r>
        <w:rPr>
          <w:rFonts w:hint="eastAsia" w:ascii="Times New Roman" w:hAnsi="Times New Roman" w:eastAsia="仿宋_GB2312" w:cs="Times New Roman"/>
          <w:snapToGrid/>
          <w:kern w:val="21"/>
          <w:sz w:val="32"/>
          <w:szCs w:val="32"/>
          <w:lang w:val="en-US" w:eastAsia="zh-CN"/>
        </w:rPr>
        <w:t>1199.68</w:t>
      </w:r>
      <w:r>
        <w:rPr>
          <w:rFonts w:ascii="Times New Roman" w:hAnsi="Times New Roman" w:eastAsia="仿宋_GB2312" w:cs="Times New Roman"/>
          <w:snapToGrid/>
          <w:kern w:val="21"/>
          <w:sz w:val="32"/>
          <w:szCs w:val="32"/>
          <w:lang w:eastAsia="zh-CN"/>
        </w:rPr>
        <w:t>万元，较上年减少</w:t>
      </w:r>
      <w:r>
        <w:rPr>
          <w:rFonts w:hint="eastAsia" w:ascii="Times New Roman" w:hAnsi="Times New Roman" w:eastAsia="仿宋_GB2312" w:cs="Times New Roman"/>
          <w:snapToGrid/>
          <w:kern w:val="21"/>
          <w:sz w:val="32"/>
          <w:szCs w:val="32"/>
          <w:lang w:val="en-US" w:eastAsia="zh-CN"/>
        </w:rPr>
        <w:t>19.42</w:t>
      </w:r>
      <w:r>
        <w:rPr>
          <w:rFonts w:ascii="Times New Roman" w:hAnsi="Times New Roman" w:eastAsia="仿宋_GB2312" w:cs="Times New Roman"/>
          <w:snapToGrid/>
          <w:kern w:val="21"/>
          <w:sz w:val="32"/>
          <w:szCs w:val="32"/>
          <w:lang w:eastAsia="zh-CN"/>
        </w:rPr>
        <w:t>万元，下降</w:t>
      </w:r>
      <w:r>
        <w:rPr>
          <w:rFonts w:hint="eastAsia" w:ascii="Times New Roman" w:hAnsi="Times New Roman" w:eastAsia="仿宋_GB2312" w:cs="Times New Roman"/>
          <w:snapToGrid/>
          <w:kern w:val="21"/>
          <w:sz w:val="32"/>
          <w:szCs w:val="32"/>
          <w:lang w:val="en-US" w:eastAsia="zh-CN"/>
        </w:rPr>
        <w:t>1.59</w:t>
      </w:r>
      <w:r>
        <w:rPr>
          <w:rFonts w:ascii="Times New Roman" w:hAnsi="Times New Roman" w:eastAsia="仿宋_GB2312" w:cs="Times New Roman"/>
          <w:snapToGrid/>
          <w:kern w:val="21"/>
          <w:sz w:val="32"/>
          <w:szCs w:val="32"/>
          <w:lang w:eastAsia="zh-CN"/>
        </w:rPr>
        <w:t>%</w:t>
      </w:r>
      <w:r>
        <w:rPr>
          <w:rFonts w:hint="eastAsia" w:ascii="Times New Roman" w:hAnsi="Times New Roman" w:eastAsia="仿宋_GB2312" w:cs="Times New Roman"/>
          <w:snapToGrid/>
          <w:kern w:val="21"/>
          <w:sz w:val="32"/>
          <w:szCs w:val="32"/>
          <w:lang w:eastAsia="zh-CN"/>
        </w:rPr>
        <w:t>，</w:t>
      </w:r>
      <w:r>
        <w:rPr>
          <w:rFonts w:ascii="Times New Roman" w:hAnsi="Times New Roman" w:eastAsia="仿宋_GB2312" w:cs="Times New Roman"/>
          <w:snapToGrid/>
          <w:kern w:val="21"/>
          <w:sz w:val="32"/>
          <w:szCs w:val="32"/>
          <w:lang w:eastAsia="zh-CN"/>
        </w:rPr>
        <w:t>主要原因是</w:t>
      </w:r>
      <w:r>
        <w:rPr>
          <w:rFonts w:hint="eastAsia" w:ascii="Times New Roman" w:hAnsi="Times New Roman" w:eastAsia="仿宋_GB2312" w:cs="Times New Roman"/>
          <w:snapToGrid/>
          <w:kern w:val="21"/>
          <w:sz w:val="32"/>
          <w:szCs w:val="32"/>
          <w:lang w:eastAsia="zh-CN"/>
        </w:rPr>
        <w:t>：落实过紧日子，压缩一般性支出</w:t>
      </w:r>
      <w:r>
        <w:rPr>
          <w:rFonts w:ascii="Times New Roman" w:hAnsi="Times New Roman" w:eastAsia="仿宋_GB2312" w:cs="Times New Roman"/>
          <w:snapToGrid/>
          <w:kern w:val="21"/>
          <w:sz w:val="32"/>
          <w:szCs w:val="32"/>
          <w:lang w:eastAsia="zh-CN"/>
        </w:rPr>
        <w:t>。其中：</w:t>
      </w:r>
    </w:p>
    <w:p w14:paraId="25598BDB">
      <w:pPr>
        <w:pStyle w:val="2"/>
        <w:widowControl w:val="0"/>
        <w:kinsoku/>
        <w:overflowPunct w:val="0"/>
        <w:topLinePunct/>
        <w:autoSpaceDE/>
        <w:autoSpaceDN/>
        <w:spacing w:line="560" w:lineRule="exact"/>
        <w:ind w:firstLine="629"/>
        <w:jc w:val="both"/>
        <w:rPr>
          <w:rFonts w:ascii="Times New Roman" w:hAnsi="Times New Roman" w:eastAsia="仿宋_GB2312" w:cs="Times New Roman"/>
          <w:snapToGrid/>
          <w:kern w:val="21"/>
          <w:sz w:val="32"/>
          <w:szCs w:val="32"/>
          <w:lang w:eastAsia="zh-CN"/>
        </w:rPr>
      </w:pPr>
      <w:r>
        <w:rPr>
          <w:rFonts w:ascii="Times New Roman" w:hAnsi="Times New Roman" w:eastAsia="仿宋_GB2312" w:cs="Times New Roman"/>
          <w:snapToGrid/>
          <w:kern w:val="21"/>
          <w:sz w:val="32"/>
          <w:szCs w:val="32"/>
          <w:lang w:eastAsia="zh-CN"/>
        </w:rPr>
        <w:t>按支出项目类别划分：基本支出</w:t>
      </w:r>
      <w:r>
        <w:rPr>
          <w:rFonts w:hint="eastAsia" w:ascii="Times New Roman" w:hAnsi="Times New Roman" w:eastAsia="仿宋_GB2312" w:cs="Times New Roman"/>
          <w:snapToGrid/>
          <w:kern w:val="21"/>
          <w:sz w:val="32"/>
          <w:szCs w:val="32"/>
          <w:lang w:val="en-US" w:eastAsia="zh-CN"/>
        </w:rPr>
        <w:t>777.68</w:t>
      </w:r>
      <w:r>
        <w:rPr>
          <w:rFonts w:ascii="Times New Roman" w:hAnsi="Times New Roman" w:eastAsia="仿宋_GB2312" w:cs="Times New Roman"/>
          <w:snapToGrid/>
          <w:kern w:val="21"/>
          <w:sz w:val="32"/>
          <w:szCs w:val="32"/>
          <w:lang w:eastAsia="zh-CN"/>
        </w:rPr>
        <w:t>万元，较上年预算安排减少</w:t>
      </w:r>
      <w:r>
        <w:rPr>
          <w:rFonts w:hint="eastAsia" w:ascii="Times New Roman" w:hAnsi="Times New Roman" w:eastAsia="仿宋_GB2312" w:cs="Times New Roman"/>
          <w:snapToGrid/>
          <w:kern w:val="21"/>
          <w:sz w:val="32"/>
          <w:szCs w:val="32"/>
          <w:lang w:val="en-US" w:eastAsia="zh-CN"/>
        </w:rPr>
        <w:t>19.42</w:t>
      </w:r>
      <w:r>
        <w:rPr>
          <w:rFonts w:ascii="Times New Roman" w:hAnsi="Times New Roman" w:eastAsia="仿宋_GB2312" w:cs="Times New Roman"/>
          <w:snapToGrid/>
          <w:kern w:val="21"/>
          <w:sz w:val="32"/>
          <w:szCs w:val="32"/>
          <w:lang w:eastAsia="zh-CN"/>
        </w:rPr>
        <w:t>万元，主要原因是</w:t>
      </w:r>
      <w:r>
        <w:rPr>
          <w:rFonts w:hint="eastAsia" w:ascii="Times New Roman" w:hAnsi="Times New Roman" w:eastAsia="仿宋_GB2312" w:cs="Times New Roman"/>
          <w:snapToGrid/>
          <w:kern w:val="21"/>
          <w:sz w:val="32"/>
          <w:szCs w:val="32"/>
          <w:lang w:eastAsia="zh-CN"/>
        </w:rPr>
        <w:t>：落实过紧日子，压缩一般性支出；</w:t>
      </w:r>
      <w:r>
        <w:rPr>
          <w:rFonts w:ascii="Times New Roman" w:hAnsi="Times New Roman" w:eastAsia="仿宋_GB2312" w:cs="Times New Roman"/>
          <w:snapToGrid/>
          <w:kern w:val="21"/>
          <w:sz w:val="32"/>
          <w:szCs w:val="32"/>
          <w:lang w:eastAsia="zh-CN"/>
        </w:rPr>
        <w:t>其中：工资福利支出</w:t>
      </w:r>
      <w:r>
        <w:rPr>
          <w:rFonts w:hint="eastAsia" w:ascii="Times New Roman" w:hAnsi="Times New Roman" w:eastAsia="仿宋_GB2312" w:cs="Times New Roman"/>
          <w:snapToGrid/>
          <w:kern w:val="21"/>
          <w:sz w:val="32"/>
          <w:szCs w:val="32"/>
          <w:lang w:val="en-US" w:eastAsia="zh-CN"/>
        </w:rPr>
        <w:t>600.49</w:t>
      </w:r>
      <w:r>
        <w:rPr>
          <w:rFonts w:ascii="Times New Roman" w:hAnsi="Times New Roman" w:eastAsia="仿宋_GB2312" w:cs="Times New Roman"/>
          <w:snapToGrid/>
          <w:kern w:val="21"/>
          <w:sz w:val="32"/>
          <w:szCs w:val="32"/>
          <w:lang w:eastAsia="zh-CN"/>
        </w:rPr>
        <w:t>万元、商品和服务支出</w:t>
      </w:r>
      <w:r>
        <w:rPr>
          <w:rFonts w:hint="eastAsia" w:ascii="Times New Roman" w:hAnsi="Times New Roman" w:eastAsia="仿宋_GB2312" w:cs="Times New Roman"/>
          <w:snapToGrid/>
          <w:kern w:val="21"/>
          <w:sz w:val="32"/>
          <w:szCs w:val="32"/>
          <w:lang w:val="en-US" w:eastAsia="zh-CN"/>
        </w:rPr>
        <w:t>64.35</w:t>
      </w:r>
      <w:r>
        <w:rPr>
          <w:rFonts w:ascii="Times New Roman" w:hAnsi="Times New Roman" w:eastAsia="仿宋_GB2312" w:cs="Times New Roman"/>
          <w:snapToGrid/>
          <w:kern w:val="21"/>
          <w:sz w:val="32"/>
          <w:szCs w:val="32"/>
          <w:lang w:eastAsia="zh-CN"/>
        </w:rPr>
        <w:t>万元、对个人和家庭的补助</w:t>
      </w:r>
      <w:r>
        <w:rPr>
          <w:rFonts w:hint="eastAsia" w:ascii="Times New Roman" w:hAnsi="Times New Roman" w:eastAsia="仿宋_GB2312" w:cs="Times New Roman"/>
          <w:snapToGrid/>
          <w:kern w:val="21"/>
          <w:sz w:val="32"/>
          <w:szCs w:val="32"/>
          <w:lang w:val="en-US" w:eastAsia="zh-CN"/>
        </w:rPr>
        <w:t>112.84</w:t>
      </w:r>
      <w:r>
        <w:rPr>
          <w:rFonts w:ascii="Times New Roman" w:hAnsi="Times New Roman" w:eastAsia="仿宋_GB2312" w:cs="Times New Roman"/>
          <w:snapToGrid/>
          <w:kern w:val="21"/>
          <w:sz w:val="32"/>
          <w:szCs w:val="32"/>
          <w:lang w:eastAsia="zh-CN"/>
        </w:rPr>
        <w:t>万元；项目支出</w:t>
      </w:r>
      <w:r>
        <w:rPr>
          <w:rFonts w:hint="eastAsia" w:ascii="Times New Roman" w:hAnsi="Times New Roman" w:eastAsia="仿宋_GB2312" w:cs="Times New Roman"/>
          <w:snapToGrid/>
          <w:kern w:val="21"/>
          <w:sz w:val="32"/>
          <w:szCs w:val="32"/>
          <w:lang w:val="en-US" w:eastAsia="zh-CN"/>
        </w:rPr>
        <w:t>422</w:t>
      </w:r>
      <w:r>
        <w:rPr>
          <w:rFonts w:ascii="Times New Roman" w:hAnsi="Times New Roman" w:eastAsia="仿宋_GB2312" w:cs="Times New Roman"/>
          <w:snapToGrid/>
          <w:kern w:val="21"/>
          <w:sz w:val="32"/>
          <w:szCs w:val="32"/>
          <w:lang w:eastAsia="zh-CN"/>
        </w:rPr>
        <w:t>万元，较上年预算安排</w:t>
      </w:r>
      <w:r>
        <w:rPr>
          <w:rFonts w:hint="eastAsia" w:ascii="Times New Roman" w:hAnsi="Times New Roman" w:eastAsia="仿宋_GB2312" w:cs="Times New Roman"/>
          <w:snapToGrid/>
          <w:kern w:val="21"/>
          <w:sz w:val="32"/>
          <w:szCs w:val="32"/>
          <w:lang w:val="en-US" w:eastAsia="zh-CN"/>
        </w:rPr>
        <w:t>一致</w:t>
      </w:r>
      <w:r>
        <w:rPr>
          <w:rFonts w:hint="eastAsia" w:ascii="Times New Roman" w:hAnsi="Times New Roman" w:eastAsia="仿宋_GB2312" w:cs="Times New Roman"/>
          <w:snapToGrid/>
          <w:kern w:val="21"/>
          <w:sz w:val="32"/>
          <w:szCs w:val="32"/>
          <w:lang w:eastAsia="zh-CN"/>
        </w:rPr>
        <w:t>；</w:t>
      </w:r>
      <w:r>
        <w:rPr>
          <w:rFonts w:ascii="Times New Roman" w:hAnsi="Times New Roman" w:eastAsia="仿宋_GB2312" w:cs="Times New Roman"/>
          <w:snapToGrid/>
          <w:kern w:val="21"/>
          <w:sz w:val="32"/>
          <w:szCs w:val="32"/>
          <w:lang w:eastAsia="zh-CN"/>
        </w:rPr>
        <w:t>其中：工资福利支出</w:t>
      </w:r>
      <w:r>
        <w:rPr>
          <w:rFonts w:hint="eastAsia" w:ascii="Times New Roman" w:hAnsi="Times New Roman" w:eastAsia="仿宋_GB2312" w:cs="Times New Roman"/>
          <w:snapToGrid/>
          <w:kern w:val="21"/>
          <w:sz w:val="32"/>
          <w:szCs w:val="32"/>
          <w:lang w:val="en-US" w:eastAsia="zh-CN"/>
        </w:rPr>
        <w:t>27</w:t>
      </w:r>
      <w:r>
        <w:rPr>
          <w:rFonts w:ascii="Times New Roman" w:hAnsi="Times New Roman" w:eastAsia="仿宋_GB2312" w:cs="Times New Roman"/>
          <w:snapToGrid/>
          <w:kern w:val="21"/>
          <w:sz w:val="32"/>
          <w:szCs w:val="32"/>
          <w:lang w:eastAsia="zh-CN"/>
        </w:rPr>
        <w:t>万元、商品和服务支出</w:t>
      </w:r>
      <w:r>
        <w:rPr>
          <w:rFonts w:hint="eastAsia" w:ascii="Times New Roman" w:hAnsi="Times New Roman" w:eastAsia="仿宋_GB2312" w:cs="Times New Roman"/>
          <w:snapToGrid/>
          <w:kern w:val="21"/>
          <w:sz w:val="32"/>
          <w:szCs w:val="32"/>
          <w:lang w:val="en-US" w:eastAsia="zh-CN"/>
        </w:rPr>
        <w:t>372</w:t>
      </w:r>
      <w:r>
        <w:rPr>
          <w:rFonts w:ascii="Times New Roman" w:hAnsi="Times New Roman" w:eastAsia="仿宋_GB2312" w:cs="Times New Roman"/>
          <w:snapToGrid/>
          <w:kern w:val="21"/>
          <w:sz w:val="32"/>
          <w:szCs w:val="32"/>
          <w:lang w:eastAsia="zh-CN"/>
        </w:rPr>
        <w:t>万元、对个人和家庭的补助</w:t>
      </w:r>
      <w:r>
        <w:rPr>
          <w:rFonts w:hint="eastAsia" w:ascii="Times New Roman" w:hAnsi="Times New Roman" w:eastAsia="仿宋_GB2312" w:cs="Times New Roman"/>
          <w:snapToGrid/>
          <w:kern w:val="21"/>
          <w:sz w:val="32"/>
          <w:szCs w:val="32"/>
          <w:lang w:val="en-US" w:eastAsia="zh-CN"/>
        </w:rPr>
        <w:t>0</w:t>
      </w:r>
      <w:r>
        <w:rPr>
          <w:rFonts w:ascii="Times New Roman" w:hAnsi="Times New Roman" w:eastAsia="仿宋_GB2312" w:cs="Times New Roman"/>
          <w:snapToGrid/>
          <w:kern w:val="21"/>
          <w:sz w:val="32"/>
          <w:szCs w:val="32"/>
          <w:lang w:eastAsia="zh-CN"/>
        </w:rPr>
        <w:t>万元、资本性支出</w:t>
      </w:r>
      <w:r>
        <w:rPr>
          <w:rFonts w:hint="eastAsia" w:ascii="Times New Roman" w:hAnsi="Times New Roman" w:eastAsia="仿宋_GB2312" w:cs="Times New Roman"/>
          <w:snapToGrid/>
          <w:kern w:val="21"/>
          <w:sz w:val="32"/>
          <w:szCs w:val="32"/>
          <w:lang w:val="en-US" w:eastAsia="zh-CN"/>
        </w:rPr>
        <w:t>23</w:t>
      </w:r>
      <w:r>
        <w:rPr>
          <w:rFonts w:ascii="Times New Roman" w:hAnsi="Times New Roman" w:eastAsia="仿宋_GB2312" w:cs="Times New Roman"/>
          <w:snapToGrid/>
          <w:kern w:val="21"/>
          <w:sz w:val="32"/>
          <w:szCs w:val="32"/>
          <w:lang w:eastAsia="zh-CN"/>
        </w:rPr>
        <w:t>万元</w:t>
      </w:r>
    </w:p>
    <w:p w14:paraId="04F27EBB">
      <w:pPr>
        <w:pStyle w:val="2"/>
        <w:widowControl w:val="0"/>
        <w:kinsoku/>
        <w:overflowPunct w:val="0"/>
        <w:topLinePunct/>
        <w:autoSpaceDE/>
        <w:autoSpaceDN/>
        <w:spacing w:line="560" w:lineRule="exact"/>
        <w:ind w:firstLine="629"/>
        <w:jc w:val="both"/>
        <w:rPr>
          <w:rFonts w:ascii="Times New Roman" w:hAnsi="Times New Roman" w:eastAsia="仿宋_GB2312" w:cs="Times New Roman"/>
          <w:snapToGrid/>
          <w:kern w:val="21"/>
          <w:sz w:val="32"/>
          <w:szCs w:val="32"/>
          <w:lang w:eastAsia="zh-CN"/>
        </w:rPr>
      </w:pPr>
      <w:r>
        <w:rPr>
          <w:rFonts w:ascii="Times New Roman" w:hAnsi="Times New Roman" w:eastAsia="仿宋_GB2312" w:cs="Times New Roman"/>
          <w:snapToGrid/>
          <w:kern w:val="21"/>
          <w:sz w:val="32"/>
          <w:szCs w:val="32"/>
          <w:lang w:eastAsia="zh-CN"/>
        </w:rPr>
        <w:t>按支出功能科目划分：</w:t>
      </w:r>
      <w:r>
        <w:rPr>
          <w:rFonts w:hint="eastAsia" w:ascii="Times New Roman" w:hAnsi="Times New Roman" w:eastAsia="仿宋_GB2312" w:cs="Times New Roman"/>
          <w:snapToGrid/>
          <w:kern w:val="21"/>
          <w:sz w:val="32"/>
          <w:szCs w:val="32"/>
          <w:lang w:eastAsia="zh-CN"/>
        </w:rPr>
        <w:t>文化旅游体育与传媒支出</w:t>
      </w:r>
      <w:r>
        <w:rPr>
          <w:rFonts w:hint="eastAsia" w:ascii="Times New Roman" w:hAnsi="Times New Roman" w:eastAsia="仿宋_GB2312" w:cs="Times New Roman"/>
          <w:snapToGrid/>
          <w:kern w:val="21"/>
          <w:sz w:val="32"/>
          <w:szCs w:val="32"/>
          <w:lang w:val="en-US" w:eastAsia="zh-CN"/>
        </w:rPr>
        <w:t>897.04</w:t>
      </w:r>
      <w:r>
        <w:rPr>
          <w:rFonts w:ascii="Times New Roman" w:hAnsi="Times New Roman" w:eastAsia="仿宋_GB2312" w:cs="Times New Roman"/>
          <w:snapToGrid/>
          <w:kern w:val="21"/>
          <w:sz w:val="32"/>
          <w:szCs w:val="32"/>
          <w:lang w:eastAsia="zh-CN"/>
        </w:rPr>
        <w:t>万元，较上年预算安排减少</w:t>
      </w:r>
      <w:r>
        <w:rPr>
          <w:rFonts w:hint="eastAsia" w:ascii="Times New Roman" w:hAnsi="Times New Roman" w:eastAsia="仿宋_GB2312" w:cs="Times New Roman"/>
          <w:snapToGrid/>
          <w:kern w:val="21"/>
          <w:sz w:val="32"/>
          <w:szCs w:val="32"/>
          <w:lang w:val="en-US" w:eastAsia="zh-CN"/>
        </w:rPr>
        <w:t>127.91</w:t>
      </w:r>
      <w:r>
        <w:rPr>
          <w:rFonts w:ascii="Times New Roman" w:hAnsi="Times New Roman" w:eastAsia="仿宋_GB2312" w:cs="Times New Roman"/>
          <w:snapToGrid/>
          <w:kern w:val="21"/>
          <w:sz w:val="32"/>
          <w:szCs w:val="32"/>
          <w:lang w:eastAsia="zh-CN"/>
        </w:rPr>
        <w:t>万元，主要原因是</w:t>
      </w:r>
      <w:r>
        <w:rPr>
          <w:rFonts w:hint="eastAsia" w:ascii="Times New Roman" w:hAnsi="Times New Roman" w:eastAsia="仿宋_GB2312" w:cs="Times New Roman"/>
          <w:snapToGrid/>
          <w:kern w:val="21"/>
          <w:sz w:val="32"/>
          <w:szCs w:val="32"/>
          <w:lang w:eastAsia="zh-CN"/>
        </w:rPr>
        <w:t>：落实过紧日子，压缩一般性支出；社会保障和就业支出</w:t>
      </w:r>
      <w:r>
        <w:rPr>
          <w:rFonts w:hint="eastAsia" w:ascii="Times New Roman" w:hAnsi="Times New Roman" w:eastAsia="仿宋_GB2312" w:cs="Times New Roman"/>
          <w:snapToGrid/>
          <w:kern w:val="21"/>
          <w:sz w:val="32"/>
          <w:szCs w:val="32"/>
          <w:lang w:val="en-US" w:eastAsia="zh-CN"/>
        </w:rPr>
        <w:t>181.83</w:t>
      </w:r>
      <w:r>
        <w:rPr>
          <w:rFonts w:ascii="Times New Roman" w:hAnsi="Times New Roman" w:eastAsia="仿宋_GB2312" w:cs="Times New Roman"/>
          <w:snapToGrid/>
          <w:kern w:val="21"/>
          <w:sz w:val="32"/>
          <w:szCs w:val="32"/>
          <w:lang w:eastAsia="zh-CN"/>
        </w:rPr>
        <w:t>万元，较上年预算安排</w:t>
      </w:r>
      <w:r>
        <w:rPr>
          <w:rFonts w:hint="eastAsia" w:ascii="Times New Roman" w:hAnsi="Times New Roman" w:eastAsia="仿宋_GB2312" w:cs="Times New Roman"/>
          <w:snapToGrid/>
          <w:kern w:val="21"/>
          <w:sz w:val="32"/>
          <w:szCs w:val="32"/>
          <w:lang w:val="en-US" w:eastAsia="zh-CN"/>
        </w:rPr>
        <w:t>增加110.87</w:t>
      </w:r>
      <w:r>
        <w:rPr>
          <w:rFonts w:ascii="Times New Roman" w:hAnsi="Times New Roman" w:eastAsia="仿宋_GB2312" w:cs="Times New Roman"/>
          <w:snapToGrid/>
          <w:kern w:val="21"/>
          <w:sz w:val="32"/>
          <w:szCs w:val="32"/>
          <w:lang w:eastAsia="zh-CN"/>
        </w:rPr>
        <w:t>万元，主要原因是</w:t>
      </w:r>
      <w:r>
        <w:rPr>
          <w:rFonts w:hint="eastAsia" w:ascii="Times New Roman" w:hAnsi="Times New Roman" w:eastAsia="仿宋_GB2312" w:cs="Times New Roman"/>
          <w:snapToGrid/>
          <w:kern w:val="21"/>
          <w:sz w:val="32"/>
          <w:szCs w:val="32"/>
          <w:lang w:eastAsia="zh-CN"/>
        </w:rPr>
        <w:t>：</w:t>
      </w:r>
      <w:r>
        <w:rPr>
          <w:rFonts w:hint="eastAsia" w:ascii="Times New Roman" w:hAnsi="Times New Roman" w:eastAsia="仿宋_GB2312" w:cs="Times New Roman"/>
          <w:snapToGrid/>
          <w:kern w:val="21"/>
          <w:sz w:val="32"/>
          <w:szCs w:val="32"/>
          <w:lang w:val="en-US" w:eastAsia="zh-CN"/>
        </w:rPr>
        <w:t>上年度退休人员绩效在文化旅游体育与传媒科目中支出</w:t>
      </w:r>
      <w:r>
        <w:rPr>
          <w:rFonts w:hint="eastAsia" w:ascii="Times New Roman" w:hAnsi="Times New Roman" w:eastAsia="仿宋_GB2312" w:cs="Times New Roman"/>
          <w:snapToGrid/>
          <w:kern w:val="21"/>
          <w:sz w:val="32"/>
          <w:szCs w:val="32"/>
          <w:lang w:eastAsia="zh-CN"/>
        </w:rPr>
        <w:t>；卫生健康支出</w:t>
      </w:r>
      <w:r>
        <w:rPr>
          <w:rFonts w:hint="eastAsia" w:ascii="Times New Roman" w:hAnsi="Times New Roman" w:eastAsia="仿宋_GB2312" w:cs="Times New Roman"/>
          <w:snapToGrid/>
          <w:kern w:val="21"/>
          <w:sz w:val="32"/>
          <w:szCs w:val="32"/>
          <w:lang w:val="en-US" w:eastAsia="zh-CN"/>
        </w:rPr>
        <w:t>62.27</w:t>
      </w:r>
      <w:r>
        <w:rPr>
          <w:rFonts w:ascii="Times New Roman" w:hAnsi="Times New Roman" w:eastAsia="仿宋_GB2312" w:cs="Times New Roman"/>
          <w:snapToGrid/>
          <w:kern w:val="21"/>
          <w:sz w:val="32"/>
          <w:szCs w:val="32"/>
          <w:lang w:eastAsia="zh-CN"/>
        </w:rPr>
        <w:t>万元，较上年预算安排减少</w:t>
      </w:r>
      <w:r>
        <w:rPr>
          <w:rFonts w:hint="eastAsia" w:ascii="Times New Roman" w:hAnsi="Times New Roman" w:eastAsia="仿宋_GB2312" w:cs="Times New Roman"/>
          <w:snapToGrid/>
          <w:kern w:val="21"/>
          <w:sz w:val="32"/>
          <w:szCs w:val="32"/>
          <w:lang w:val="en-US" w:eastAsia="zh-CN"/>
        </w:rPr>
        <w:t>0.91</w:t>
      </w:r>
      <w:r>
        <w:rPr>
          <w:rFonts w:ascii="Times New Roman" w:hAnsi="Times New Roman" w:eastAsia="仿宋_GB2312" w:cs="Times New Roman"/>
          <w:snapToGrid/>
          <w:kern w:val="21"/>
          <w:sz w:val="32"/>
          <w:szCs w:val="32"/>
          <w:lang w:eastAsia="zh-CN"/>
        </w:rPr>
        <w:t>万元，主要原因是</w:t>
      </w:r>
      <w:r>
        <w:rPr>
          <w:rFonts w:hint="eastAsia" w:ascii="Times New Roman" w:hAnsi="Times New Roman" w:eastAsia="仿宋_GB2312" w:cs="Times New Roman"/>
          <w:snapToGrid/>
          <w:kern w:val="21"/>
          <w:sz w:val="32"/>
          <w:szCs w:val="32"/>
          <w:lang w:eastAsia="zh-CN"/>
        </w:rPr>
        <w:t>：</w:t>
      </w:r>
      <w:r>
        <w:rPr>
          <w:rFonts w:hint="eastAsia" w:ascii="Times New Roman" w:hAnsi="Times New Roman" w:eastAsia="仿宋_GB2312" w:cs="Times New Roman"/>
          <w:snapToGrid/>
          <w:kern w:val="21"/>
          <w:sz w:val="32"/>
          <w:szCs w:val="32"/>
          <w:lang w:val="en-US" w:eastAsia="zh-CN"/>
        </w:rPr>
        <w:t>因本年度调入一人，在职转退休一人，产生的人员预算差异</w:t>
      </w:r>
      <w:r>
        <w:rPr>
          <w:rFonts w:hint="eastAsia" w:ascii="Times New Roman" w:hAnsi="Times New Roman" w:eastAsia="仿宋_GB2312" w:cs="Times New Roman"/>
          <w:snapToGrid/>
          <w:kern w:val="21"/>
          <w:sz w:val="32"/>
          <w:szCs w:val="32"/>
          <w:lang w:eastAsia="zh-CN"/>
        </w:rPr>
        <w:t>；住房保障支出</w:t>
      </w:r>
      <w:r>
        <w:rPr>
          <w:rFonts w:hint="eastAsia" w:ascii="Times New Roman" w:hAnsi="Times New Roman" w:eastAsia="仿宋_GB2312" w:cs="Times New Roman"/>
          <w:snapToGrid/>
          <w:kern w:val="21"/>
          <w:sz w:val="32"/>
          <w:szCs w:val="32"/>
          <w:lang w:val="en-US" w:eastAsia="zh-CN"/>
        </w:rPr>
        <w:t>58.53</w:t>
      </w:r>
      <w:r>
        <w:rPr>
          <w:rFonts w:ascii="Times New Roman" w:hAnsi="Times New Roman" w:eastAsia="仿宋_GB2312" w:cs="Times New Roman"/>
          <w:snapToGrid/>
          <w:kern w:val="21"/>
          <w:sz w:val="32"/>
          <w:szCs w:val="32"/>
          <w:lang w:eastAsia="zh-CN"/>
        </w:rPr>
        <w:t>万元，较上年预算安排减少</w:t>
      </w:r>
      <w:r>
        <w:rPr>
          <w:rFonts w:hint="eastAsia" w:ascii="Times New Roman" w:hAnsi="Times New Roman" w:eastAsia="仿宋_GB2312" w:cs="Times New Roman"/>
          <w:snapToGrid/>
          <w:kern w:val="21"/>
          <w:sz w:val="32"/>
          <w:szCs w:val="32"/>
          <w:lang w:val="en-US" w:eastAsia="zh-CN"/>
        </w:rPr>
        <w:t>1.48</w:t>
      </w:r>
      <w:r>
        <w:rPr>
          <w:rFonts w:ascii="Times New Roman" w:hAnsi="Times New Roman" w:eastAsia="仿宋_GB2312" w:cs="Times New Roman"/>
          <w:snapToGrid/>
          <w:kern w:val="21"/>
          <w:sz w:val="32"/>
          <w:szCs w:val="32"/>
          <w:lang w:eastAsia="zh-CN"/>
        </w:rPr>
        <w:t>万元，主要原因是</w:t>
      </w:r>
      <w:r>
        <w:rPr>
          <w:rFonts w:hint="eastAsia" w:ascii="Times New Roman" w:hAnsi="Times New Roman" w:eastAsia="仿宋_GB2312" w:cs="Times New Roman"/>
          <w:snapToGrid/>
          <w:kern w:val="21"/>
          <w:sz w:val="32"/>
          <w:szCs w:val="32"/>
          <w:lang w:eastAsia="zh-CN"/>
        </w:rPr>
        <w:t>：</w:t>
      </w:r>
      <w:r>
        <w:rPr>
          <w:rFonts w:hint="eastAsia" w:ascii="Times New Roman" w:hAnsi="Times New Roman" w:eastAsia="仿宋_GB2312" w:cs="Times New Roman"/>
          <w:snapToGrid/>
          <w:kern w:val="21"/>
          <w:sz w:val="32"/>
          <w:szCs w:val="32"/>
          <w:lang w:val="en-US" w:eastAsia="zh-CN"/>
        </w:rPr>
        <w:t>因本年度调入一人，在职转退休一人，产生的人员预算差异</w:t>
      </w:r>
      <w:r>
        <w:rPr>
          <w:rFonts w:ascii="Times New Roman" w:hAnsi="Times New Roman" w:eastAsia="仿宋_GB2312" w:cs="Times New Roman"/>
          <w:snapToGrid/>
          <w:kern w:val="21"/>
          <w:sz w:val="32"/>
          <w:szCs w:val="32"/>
          <w:lang w:eastAsia="zh-CN"/>
        </w:rPr>
        <w:t>。</w:t>
      </w:r>
    </w:p>
    <w:p w14:paraId="2F780FD6">
      <w:pPr>
        <w:pStyle w:val="2"/>
        <w:widowControl w:val="0"/>
        <w:kinsoku/>
        <w:overflowPunct w:val="0"/>
        <w:topLinePunct/>
        <w:autoSpaceDE/>
        <w:autoSpaceDN/>
        <w:spacing w:line="560" w:lineRule="exact"/>
        <w:ind w:firstLine="619"/>
        <w:jc w:val="both"/>
        <w:rPr>
          <w:rFonts w:ascii="Times New Roman" w:hAnsi="Times New Roman" w:eastAsia="仿宋_GB2312" w:cs="Times New Roman"/>
          <w:snapToGrid/>
          <w:kern w:val="21"/>
          <w:sz w:val="32"/>
          <w:szCs w:val="32"/>
          <w:lang w:eastAsia="zh-CN"/>
        </w:rPr>
      </w:pPr>
      <w:r>
        <w:rPr>
          <w:rFonts w:ascii="Times New Roman" w:hAnsi="Times New Roman" w:eastAsia="仿宋_GB2312" w:cs="Times New Roman"/>
          <w:snapToGrid/>
          <w:kern w:val="21"/>
          <w:sz w:val="32"/>
          <w:szCs w:val="32"/>
          <w:lang w:eastAsia="zh-CN"/>
        </w:rPr>
        <w:t>按支出经济分类划分：工资福利支出</w:t>
      </w:r>
      <w:r>
        <w:rPr>
          <w:rFonts w:hint="eastAsia" w:ascii="Times New Roman" w:hAnsi="Times New Roman" w:eastAsia="仿宋_GB2312" w:cs="Times New Roman"/>
          <w:snapToGrid/>
          <w:kern w:val="21"/>
          <w:sz w:val="32"/>
          <w:szCs w:val="32"/>
          <w:lang w:val="en-US" w:eastAsia="zh-CN"/>
        </w:rPr>
        <w:t>627.49</w:t>
      </w:r>
      <w:r>
        <w:rPr>
          <w:rFonts w:ascii="Times New Roman" w:hAnsi="Times New Roman" w:eastAsia="仿宋_GB2312" w:cs="Times New Roman"/>
          <w:snapToGrid/>
          <w:kern w:val="21"/>
          <w:sz w:val="32"/>
          <w:szCs w:val="32"/>
          <w:lang w:eastAsia="zh-CN"/>
        </w:rPr>
        <w:t>万元，较上年预算安排减少</w:t>
      </w:r>
      <w:r>
        <w:rPr>
          <w:rFonts w:hint="eastAsia" w:ascii="Times New Roman" w:hAnsi="Times New Roman" w:eastAsia="仿宋_GB2312" w:cs="Times New Roman"/>
          <w:snapToGrid/>
          <w:kern w:val="21"/>
          <w:sz w:val="32"/>
          <w:szCs w:val="32"/>
          <w:lang w:val="en-US" w:eastAsia="zh-CN"/>
        </w:rPr>
        <w:t>118.92</w:t>
      </w:r>
      <w:r>
        <w:rPr>
          <w:rFonts w:ascii="Times New Roman" w:hAnsi="Times New Roman" w:eastAsia="仿宋_GB2312" w:cs="Times New Roman"/>
          <w:snapToGrid/>
          <w:kern w:val="21"/>
          <w:sz w:val="32"/>
          <w:szCs w:val="32"/>
          <w:lang w:eastAsia="zh-CN"/>
        </w:rPr>
        <w:t>万元，主要原因是</w:t>
      </w:r>
      <w:r>
        <w:rPr>
          <w:rFonts w:hint="eastAsia" w:ascii="Times New Roman" w:hAnsi="Times New Roman" w:eastAsia="仿宋_GB2312" w:cs="Times New Roman"/>
          <w:snapToGrid/>
          <w:kern w:val="21"/>
          <w:sz w:val="32"/>
          <w:szCs w:val="32"/>
          <w:lang w:eastAsia="zh-CN"/>
        </w:rPr>
        <w:t>：</w:t>
      </w:r>
      <w:r>
        <w:rPr>
          <w:rFonts w:hint="eastAsia" w:ascii="Times New Roman" w:hAnsi="Times New Roman" w:eastAsia="仿宋_GB2312" w:cs="Times New Roman"/>
          <w:snapToGrid/>
          <w:kern w:val="21"/>
          <w:sz w:val="32"/>
          <w:szCs w:val="32"/>
          <w:lang w:val="en-US" w:eastAsia="zh-CN"/>
        </w:rPr>
        <w:t>上年度工资福利中包含了退休人员绩效奖，本年度退休人员绩效奖在对个人和家庭的补助中支出</w:t>
      </w:r>
      <w:r>
        <w:rPr>
          <w:rFonts w:hint="eastAsia" w:ascii="Times New Roman" w:hAnsi="Times New Roman" w:eastAsia="仿宋_GB2312" w:cs="Times New Roman"/>
          <w:snapToGrid/>
          <w:kern w:val="21"/>
          <w:sz w:val="32"/>
          <w:szCs w:val="32"/>
          <w:lang w:eastAsia="zh-CN"/>
        </w:rPr>
        <w:t>；</w:t>
      </w:r>
      <w:r>
        <w:rPr>
          <w:rFonts w:ascii="Times New Roman" w:hAnsi="Times New Roman" w:eastAsia="仿宋_GB2312" w:cs="Times New Roman"/>
          <w:snapToGrid/>
          <w:kern w:val="21"/>
          <w:sz w:val="32"/>
          <w:szCs w:val="32"/>
          <w:lang w:eastAsia="zh-CN"/>
        </w:rPr>
        <w:t>商品和服务支出</w:t>
      </w:r>
      <w:r>
        <w:rPr>
          <w:rFonts w:hint="eastAsia" w:ascii="Times New Roman" w:hAnsi="Times New Roman" w:eastAsia="仿宋_GB2312" w:cs="Times New Roman"/>
          <w:snapToGrid/>
          <w:kern w:val="21"/>
          <w:sz w:val="32"/>
          <w:szCs w:val="32"/>
          <w:lang w:val="en-US" w:eastAsia="zh-CN"/>
        </w:rPr>
        <w:t>436.35</w:t>
      </w:r>
      <w:r>
        <w:rPr>
          <w:rFonts w:ascii="Times New Roman" w:hAnsi="Times New Roman" w:eastAsia="仿宋_GB2312" w:cs="Times New Roman"/>
          <w:snapToGrid/>
          <w:kern w:val="21"/>
          <w:sz w:val="32"/>
          <w:szCs w:val="32"/>
          <w:lang w:eastAsia="zh-CN"/>
        </w:rPr>
        <w:t>万元，较上年预算安排减少</w:t>
      </w:r>
      <w:r>
        <w:rPr>
          <w:rFonts w:hint="eastAsia" w:ascii="Times New Roman" w:hAnsi="Times New Roman" w:eastAsia="仿宋_GB2312" w:cs="Times New Roman"/>
          <w:snapToGrid/>
          <w:kern w:val="21"/>
          <w:sz w:val="32"/>
          <w:szCs w:val="32"/>
          <w:lang w:val="en-US" w:eastAsia="zh-CN"/>
        </w:rPr>
        <w:t>16.11</w:t>
      </w:r>
      <w:r>
        <w:rPr>
          <w:rFonts w:ascii="Times New Roman" w:hAnsi="Times New Roman" w:eastAsia="仿宋_GB2312" w:cs="Times New Roman"/>
          <w:snapToGrid/>
          <w:kern w:val="21"/>
          <w:sz w:val="32"/>
          <w:szCs w:val="32"/>
          <w:lang w:eastAsia="zh-CN"/>
        </w:rPr>
        <w:t>万元，主要原因是</w:t>
      </w:r>
      <w:r>
        <w:rPr>
          <w:rFonts w:hint="eastAsia" w:ascii="Times New Roman" w:hAnsi="Times New Roman" w:eastAsia="仿宋_GB2312" w:cs="Times New Roman"/>
          <w:snapToGrid/>
          <w:kern w:val="21"/>
          <w:sz w:val="32"/>
          <w:szCs w:val="32"/>
          <w:lang w:eastAsia="zh-CN"/>
        </w:rPr>
        <w:t>：落实过紧日子，压缩一般性支出；对个人和家庭的补助</w:t>
      </w:r>
      <w:r>
        <w:rPr>
          <w:rFonts w:hint="eastAsia" w:ascii="Times New Roman" w:hAnsi="Times New Roman" w:eastAsia="仿宋_GB2312" w:cs="Times New Roman"/>
          <w:snapToGrid/>
          <w:kern w:val="21"/>
          <w:sz w:val="32"/>
          <w:szCs w:val="32"/>
          <w:lang w:val="en-US" w:eastAsia="zh-CN"/>
        </w:rPr>
        <w:t>支出112.61</w:t>
      </w:r>
      <w:r>
        <w:rPr>
          <w:rFonts w:ascii="Times New Roman" w:hAnsi="Times New Roman" w:eastAsia="仿宋_GB2312" w:cs="Times New Roman"/>
          <w:snapToGrid/>
          <w:kern w:val="21"/>
          <w:sz w:val="32"/>
          <w:szCs w:val="32"/>
          <w:lang w:eastAsia="zh-CN"/>
        </w:rPr>
        <w:t>万元，较上年预算安排</w:t>
      </w:r>
      <w:r>
        <w:rPr>
          <w:rFonts w:hint="eastAsia" w:ascii="Times New Roman" w:hAnsi="Times New Roman" w:eastAsia="仿宋_GB2312" w:cs="Times New Roman"/>
          <w:snapToGrid/>
          <w:kern w:val="21"/>
          <w:sz w:val="32"/>
          <w:szCs w:val="32"/>
          <w:lang w:val="en-US" w:eastAsia="zh-CN"/>
        </w:rPr>
        <w:t>增加112.61</w:t>
      </w:r>
      <w:r>
        <w:rPr>
          <w:rFonts w:ascii="Times New Roman" w:hAnsi="Times New Roman" w:eastAsia="仿宋_GB2312" w:cs="Times New Roman"/>
          <w:snapToGrid/>
          <w:kern w:val="21"/>
          <w:sz w:val="32"/>
          <w:szCs w:val="32"/>
          <w:lang w:eastAsia="zh-CN"/>
        </w:rPr>
        <w:t>万元，</w:t>
      </w:r>
      <w:r>
        <w:rPr>
          <w:rFonts w:ascii="Times New Roman" w:hAnsi="Times New Roman" w:eastAsia="仿宋_GB2312" w:cs="Times New Roman"/>
          <w:snapToGrid/>
          <w:kern w:val="21"/>
          <w:sz w:val="32"/>
          <w:szCs w:val="32"/>
          <w:lang w:eastAsia="zh-CN"/>
        </w:rPr>
        <w:t>主要原因是</w:t>
      </w:r>
      <w:r>
        <w:rPr>
          <w:rFonts w:hint="eastAsia" w:ascii="Times New Roman" w:hAnsi="Times New Roman" w:eastAsia="仿宋_GB2312" w:cs="Times New Roman"/>
          <w:snapToGrid/>
          <w:kern w:val="21"/>
          <w:sz w:val="32"/>
          <w:szCs w:val="32"/>
          <w:lang w:eastAsia="zh-CN"/>
        </w:rPr>
        <w:t>：</w:t>
      </w:r>
      <w:r>
        <w:rPr>
          <w:rFonts w:hint="eastAsia" w:ascii="Times New Roman" w:hAnsi="Times New Roman" w:eastAsia="仿宋_GB2312" w:cs="Times New Roman"/>
          <w:snapToGrid/>
          <w:kern w:val="21"/>
          <w:sz w:val="32"/>
          <w:szCs w:val="32"/>
          <w:lang w:val="en-US" w:eastAsia="zh-CN"/>
        </w:rPr>
        <w:t>上年度工资福利中包含了退休人员绩效奖，本年度退休人员绩效奖在对个人和家庭的补助中支出</w:t>
      </w:r>
      <w:r>
        <w:rPr>
          <w:rFonts w:hint="eastAsia" w:ascii="Times New Roman" w:hAnsi="Times New Roman" w:eastAsia="仿宋_GB2312" w:cs="Times New Roman"/>
          <w:snapToGrid/>
          <w:kern w:val="21"/>
          <w:sz w:val="32"/>
          <w:szCs w:val="32"/>
          <w:lang w:eastAsia="zh-CN"/>
        </w:rPr>
        <w:t>；资本性支出</w:t>
      </w:r>
      <w:r>
        <w:rPr>
          <w:rFonts w:hint="eastAsia" w:ascii="Times New Roman" w:hAnsi="Times New Roman" w:eastAsia="仿宋_GB2312" w:cs="Times New Roman"/>
          <w:snapToGrid/>
          <w:kern w:val="21"/>
          <w:sz w:val="32"/>
          <w:szCs w:val="32"/>
          <w:lang w:val="en-US" w:eastAsia="zh-CN"/>
        </w:rPr>
        <w:t>23</w:t>
      </w:r>
      <w:r>
        <w:rPr>
          <w:rFonts w:ascii="Times New Roman" w:hAnsi="Times New Roman" w:eastAsia="仿宋_GB2312" w:cs="Times New Roman"/>
          <w:snapToGrid/>
          <w:kern w:val="21"/>
          <w:sz w:val="32"/>
          <w:szCs w:val="32"/>
          <w:lang w:eastAsia="zh-CN"/>
        </w:rPr>
        <w:t>万元，较上年预算安排</w:t>
      </w:r>
      <w:r>
        <w:rPr>
          <w:rFonts w:hint="eastAsia" w:ascii="Times New Roman" w:hAnsi="Times New Roman" w:eastAsia="仿宋_GB2312" w:cs="Times New Roman"/>
          <w:snapToGrid/>
          <w:kern w:val="21"/>
          <w:sz w:val="32"/>
          <w:szCs w:val="32"/>
          <w:lang w:val="en-US" w:eastAsia="zh-CN"/>
        </w:rPr>
        <w:t>增加3</w:t>
      </w:r>
      <w:r>
        <w:rPr>
          <w:rFonts w:ascii="Times New Roman" w:hAnsi="Times New Roman" w:eastAsia="仿宋_GB2312" w:cs="Times New Roman"/>
          <w:snapToGrid/>
          <w:kern w:val="21"/>
          <w:sz w:val="32"/>
          <w:szCs w:val="32"/>
          <w:lang w:eastAsia="zh-CN"/>
        </w:rPr>
        <w:t>万元，主要原因是</w:t>
      </w:r>
      <w:r>
        <w:rPr>
          <w:rFonts w:hint="eastAsia" w:ascii="Times New Roman" w:hAnsi="Times New Roman" w:eastAsia="仿宋_GB2312" w:cs="Times New Roman"/>
          <w:snapToGrid/>
          <w:kern w:val="21"/>
          <w:sz w:val="32"/>
          <w:szCs w:val="32"/>
          <w:lang w:eastAsia="zh-CN"/>
        </w:rPr>
        <w:t>：全民阅读</w:t>
      </w:r>
      <w:r>
        <w:rPr>
          <w:rFonts w:hint="eastAsia" w:ascii="Times New Roman" w:hAnsi="Times New Roman" w:eastAsia="仿宋_GB2312" w:cs="Times New Roman"/>
          <w:snapToGrid/>
          <w:kern w:val="21"/>
          <w:sz w:val="32"/>
          <w:szCs w:val="32"/>
          <w:lang w:val="en-US" w:eastAsia="zh-CN"/>
        </w:rPr>
        <w:t>项目增加购买安排</w:t>
      </w:r>
      <w:r>
        <w:rPr>
          <w:rFonts w:ascii="Times New Roman" w:hAnsi="Times New Roman" w:eastAsia="仿宋_GB2312" w:cs="Times New Roman"/>
          <w:snapToGrid/>
          <w:kern w:val="21"/>
          <w:sz w:val="32"/>
          <w:szCs w:val="32"/>
          <w:lang w:eastAsia="zh-CN"/>
        </w:rPr>
        <w:t>。</w:t>
      </w:r>
    </w:p>
    <w:p w14:paraId="2DD8E7DB">
      <w:pPr>
        <w:widowControl w:val="0"/>
        <w:kinsoku/>
        <w:overflowPunct w:val="0"/>
        <w:topLinePunct/>
        <w:autoSpaceDE/>
        <w:autoSpaceDN/>
        <w:spacing w:line="560" w:lineRule="exact"/>
        <w:ind w:firstLine="640" w:firstLineChars="200"/>
        <w:jc w:val="both"/>
        <w:rPr>
          <w:rFonts w:ascii="楷体_GB2312" w:hAnsi="楷体_GB2312" w:eastAsia="楷体_GB2312" w:cs="楷体_GB2312"/>
          <w:snapToGrid/>
          <w:kern w:val="21"/>
          <w:sz w:val="32"/>
          <w:szCs w:val="32"/>
          <w:lang w:eastAsia="zh-CN"/>
        </w:rPr>
      </w:pPr>
      <w:r>
        <w:rPr>
          <w:rFonts w:hint="eastAsia" w:ascii="楷体_GB2312" w:hAnsi="楷体_GB2312" w:eastAsia="楷体_GB2312" w:cs="楷体_GB2312"/>
          <w:snapToGrid/>
          <w:kern w:val="21"/>
          <w:sz w:val="32"/>
          <w:szCs w:val="32"/>
          <w:lang w:eastAsia="zh-CN"/>
        </w:rPr>
        <w:t>（三）财政拨款支出情况</w:t>
      </w:r>
    </w:p>
    <w:p w14:paraId="5370C04F">
      <w:pPr>
        <w:pStyle w:val="2"/>
        <w:widowControl w:val="0"/>
        <w:kinsoku/>
        <w:overflowPunct w:val="0"/>
        <w:topLinePunct/>
        <w:autoSpaceDE/>
        <w:autoSpaceDN/>
        <w:spacing w:line="560" w:lineRule="exact"/>
        <w:ind w:firstLine="640" w:firstLineChars="200"/>
        <w:jc w:val="both"/>
        <w:rPr>
          <w:rFonts w:ascii="Times New Roman" w:hAnsi="Times New Roman" w:eastAsia="仿宋_GB2312" w:cs="Times New Roman"/>
          <w:snapToGrid/>
          <w:kern w:val="21"/>
          <w:sz w:val="32"/>
          <w:szCs w:val="32"/>
          <w:lang w:eastAsia="zh-CN"/>
        </w:rPr>
      </w:pPr>
      <w:r>
        <w:rPr>
          <w:rFonts w:ascii="Times New Roman" w:hAnsi="Times New Roman" w:eastAsia="仿宋_GB2312" w:cs="Times New Roman"/>
          <w:snapToGrid/>
          <w:kern w:val="21"/>
          <w:sz w:val="32"/>
          <w:szCs w:val="32"/>
          <w:lang w:eastAsia="zh-CN"/>
        </w:rPr>
        <w:t>202</w:t>
      </w:r>
      <w:r>
        <w:rPr>
          <w:rFonts w:hint="eastAsia" w:ascii="Times New Roman" w:hAnsi="Times New Roman" w:eastAsia="仿宋_GB2312" w:cs="Times New Roman"/>
          <w:snapToGrid/>
          <w:kern w:val="21"/>
          <w:sz w:val="32"/>
          <w:szCs w:val="32"/>
          <w:lang w:val="en-US" w:eastAsia="zh-CN"/>
        </w:rPr>
        <w:t>5</w:t>
      </w:r>
      <w:r>
        <w:rPr>
          <w:rFonts w:ascii="Times New Roman" w:hAnsi="Times New Roman" w:eastAsia="仿宋_GB2312" w:cs="Times New Roman"/>
          <w:snapToGrid/>
          <w:kern w:val="21"/>
          <w:sz w:val="32"/>
          <w:szCs w:val="32"/>
          <w:lang w:eastAsia="zh-CN"/>
        </w:rPr>
        <w:t>年</w:t>
      </w:r>
      <w:r>
        <w:rPr>
          <w:rFonts w:hint="eastAsia" w:ascii="Times New Roman" w:hAnsi="Times New Roman" w:eastAsia="仿宋_GB2312" w:cs="Times New Roman"/>
          <w:snapToGrid/>
          <w:kern w:val="21"/>
          <w:sz w:val="32"/>
          <w:szCs w:val="32"/>
          <w:lang w:eastAsia="zh-CN"/>
        </w:rPr>
        <w:t>南昌市新建区文化事业发展中心</w:t>
      </w:r>
      <w:r>
        <w:rPr>
          <w:rFonts w:ascii="Times New Roman" w:hAnsi="Times New Roman" w:eastAsia="仿宋_GB2312" w:cs="Times New Roman"/>
          <w:snapToGrid/>
          <w:kern w:val="21"/>
          <w:sz w:val="32"/>
          <w:szCs w:val="32"/>
          <w:lang w:eastAsia="zh-CN"/>
        </w:rPr>
        <w:t>单位财政拨款支出预算</w:t>
      </w:r>
      <w:r>
        <w:rPr>
          <w:rFonts w:hint="eastAsia" w:ascii="Times New Roman" w:hAnsi="Times New Roman" w:eastAsia="仿宋_GB2312" w:cs="Times New Roman"/>
          <w:snapToGrid/>
          <w:kern w:val="21"/>
          <w:sz w:val="32"/>
          <w:szCs w:val="32"/>
          <w:lang w:val="en-US" w:eastAsia="zh-CN"/>
        </w:rPr>
        <w:t>949.68</w:t>
      </w:r>
      <w:r>
        <w:rPr>
          <w:rFonts w:ascii="Times New Roman" w:hAnsi="Times New Roman" w:eastAsia="仿宋_GB2312" w:cs="Times New Roman"/>
          <w:snapToGrid/>
          <w:kern w:val="21"/>
          <w:sz w:val="32"/>
          <w:szCs w:val="32"/>
          <w:lang w:eastAsia="zh-CN"/>
        </w:rPr>
        <w:t>万元，较上年减少</w:t>
      </w:r>
      <w:r>
        <w:rPr>
          <w:rFonts w:hint="eastAsia" w:ascii="Times New Roman" w:hAnsi="Times New Roman" w:eastAsia="仿宋_GB2312" w:cs="Times New Roman"/>
          <w:snapToGrid/>
          <w:kern w:val="21"/>
          <w:sz w:val="32"/>
          <w:szCs w:val="32"/>
          <w:lang w:val="en-US" w:eastAsia="zh-CN"/>
        </w:rPr>
        <w:t>19.42</w:t>
      </w:r>
      <w:r>
        <w:rPr>
          <w:rFonts w:ascii="Times New Roman" w:hAnsi="Times New Roman" w:eastAsia="仿宋_GB2312" w:cs="Times New Roman"/>
          <w:snapToGrid/>
          <w:kern w:val="21"/>
          <w:sz w:val="32"/>
          <w:szCs w:val="32"/>
          <w:lang w:eastAsia="zh-CN"/>
        </w:rPr>
        <w:t>万元，下降</w:t>
      </w:r>
      <w:r>
        <w:rPr>
          <w:rFonts w:hint="eastAsia" w:ascii="Times New Roman" w:hAnsi="Times New Roman" w:eastAsia="仿宋_GB2312" w:cs="Times New Roman"/>
          <w:snapToGrid/>
          <w:kern w:val="21"/>
          <w:sz w:val="32"/>
          <w:szCs w:val="32"/>
          <w:lang w:val="en-US" w:eastAsia="zh-CN"/>
        </w:rPr>
        <w:t>2</w:t>
      </w:r>
      <w:r>
        <w:rPr>
          <w:rFonts w:ascii="Times New Roman" w:hAnsi="Times New Roman" w:eastAsia="仿宋_GB2312" w:cs="Times New Roman"/>
          <w:snapToGrid/>
          <w:kern w:val="21"/>
          <w:sz w:val="32"/>
          <w:szCs w:val="32"/>
          <w:lang w:eastAsia="zh-CN"/>
        </w:rPr>
        <w:t>%,主要原因是</w:t>
      </w:r>
      <w:r>
        <w:rPr>
          <w:rFonts w:hint="eastAsia" w:ascii="Times New Roman" w:hAnsi="Times New Roman" w:eastAsia="仿宋_GB2312" w:cs="Times New Roman"/>
          <w:snapToGrid/>
          <w:kern w:val="21"/>
          <w:sz w:val="32"/>
          <w:szCs w:val="32"/>
          <w:lang w:eastAsia="zh-CN"/>
        </w:rPr>
        <w:t>：落实过紧日子，压缩一般性支出</w:t>
      </w:r>
      <w:r>
        <w:rPr>
          <w:rFonts w:ascii="Times New Roman" w:hAnsi="Times New Roman" w:eastAsia="仿宋_GB2312" w:cs="Times New Roman"/>
          <w:snapToGrid/>
          <w:kern w:val="21"/>
          <w:sz w:val="32"/>
          <w:szCs w:val="32"/>
          <w:lang w:eastAsia="zh-CN"/>
        </w:rPr>
        <w:t>。</w:t>
      </w:r>
    </w:p>
    <w:p w14:paraId="5A07DFC1">
      <w:pPr>
        <w:pStyle w:val="2"/>
        <w:widowControl w:val="0"/>
        <w:kinsoku/>
        <w:overflowPunct w:val="0"/>
        <w:topLinePunct/>
        <w:autoSpaceDE/>
        <w:autoSpaceDN/>
        <w:spacing w:line="560" w:lineRule="exact"/>
        <w:ind w:firstLine="619"/>
        <w:jc w:val="both"/>
        <w:rPr>
          <w:rFonts w:ascii="Times New Roman" w:hAnsi="Times New Roman" w:eastAsia="仿宋_GB2312" w:cs="Times New Roman"/>
          <w:snapToGrid/>
          <w:kern w:val="21"/>
          <w:sz w:val="32"/>
          <w:szCs w:val="32"/>
          <w:lang w:eastAsia="zh-CN"/>
        </w:rPr>
      </w:pPr>
      <w:r>
        <w:rPr>
          <w:rFonts w:ascii="Times New Roman" w:hAnsi="Times New Roman" w:eastAsia="仿宋_GB2312" w:cs="Times New Roman"/>
          <w:snapToGrid/>
          <w:kern w:val="21"/>
          <w:sz w:val="32"/>
          <w:szCs w:val="32"/>
          <w:lang w:eastAsia="zh-CN"/>
        </w:rPr>
        <w:t>按支出功能科目划分：</w:t>
      </w:r>
      <w:r>
        <w:rPr>
          <w:rFonts w:hint="eastAsia" w:ascii="Times New Roman" w:hAnsi="Times New Roman" w:eastAsia="仿宋_GB2312" w:cs="Times New Roman"/>
          <w:snapToGrid/>
          <w:kern w:val="21"/>
          <w:sz w:val="32"/>
          <w:szCs w:val="32"/>
          <w:lang w:eastAsia="zh-CN"/>
        </w:rPr>
        <w:t>文化旅游体育与传媒支出</w:t>
      </w:r>
      <w:r>
        <w:rPr>
          <w:rFonts w:hint="eastAsia" w:ascii="Times New Roman" w:hAnsi="Times New Roman" w:eastAsia="仿宋_GB2312" w:cs="Times New Roman"/>
          <w:snapToGrid/>
          <w:kern w:val="21"/>
          <w:sz w:val="32"/>
          <w:szCs w:val="32"/>
          <w:lang w:val="en-US" w:eastAsia="zh-CN"/>
        </w:rPr>
        <w:t>647.04</w:t>
      </w:r>
      <w:r>
        <w:rPr>
          <w:rFonts w:ascii="Times New Roman" w:hAnsi="Times New Roman" w:eastAsia="仿宋_GB2312" w:cs="Times New Roman"/>
          <w:snapToGrid/>
          <w:kern w:val="21"/>
          <w:sz w:val="32"/>
          <w:szCs w:val="32"/>
          <w:lang w:eastAsia="zh-CN"/>
        </w:rPr>
        <w:t>万元，较上年预算安排减少</w:t>
      </w:r>
      <w:r>
        <w:rPr>
          <w:rFonts w:hint="eastAsia" w:ascii="Times New Roman" w:hAnsi="Times New Roman" w:eastAsia="仿宋_GB2312" w:cs="Times New Roman"/>
          <w:snapToGrid/>
          <w:kern w:val="21"/>
          <w:sz w:val="32"/>
          <w:szCs w:val="32"/>
          <w:lang w:val="en-US" w:eastAsia="zh-CN"/>
        </w:rPr>
        <w:t>127.91</w:t>
      </w:r>
      <w:r>
        <w:rPr>
          <w:rFonts w:ascii="Times New Roman" w:hAnsi="Times New Roman" w:eastAsia="仿宋_GB2312" w:cs="Times New Roman"/>
          <w:snapToGrid/>
          <w:kern w:val="21"/>
          <w:sz w:val="32"/>
          <w:szCs w:val="32"/>
          <w:lang w:eastAsia="zh-CN"/>
        </w:rPr>
        <w:t>万元，主要原因是</w:t>
      </w:r>
      <w:r>
        <w:rPr>
          <w:rFonts w:hint="eastAsia" w:ascii="Times New Roman" w:hAnsi="Times New Roman" w:eastAsia="仿宋_GB2312" w:cs="Times New Roman"/>
          <w:snapToGrid/>
          <w:kern w:val="21"/>
          <w:sz w:val="32"/>
          <w:szCs w:val="32"/>
          <w:lang w:eastAsia="zh-CN"/>
        </w:rPr>
        <w:t>：落实过紧日子，压缩一般性支出；</w:t>
      </w:r>
      <w:r>
        <w:rPr>
          <w:rFonts w:hint="eastAsia" w:ascii="Times New Roman" w:hAnsi="Times New Roman" w:eastAsia="仿宋_GB2312" w:cs="Times New Roman"/>
          <w:snapToGrid/>
          <w:kern w:val="21"/>
          <w:sz w:val="32"/>
          <w:szCs w:val="32"/>
          <w:lang w:eastAsia="zh-CN"/>
        </w:rPr>
        <w:t>社会保障和就业支出</w:t>
      </w:r>
      <w:r>
        <w:rPr>
          <w:rFonts w:hint="eastAsia" w:ascii="Times New Roman" w:hAnsi="Times New Roman" w:eastAsia="仿宋_GB2312" w:cs="Times New Roman"/>
          <w:snapToGrid/>
          <w:kern w:val="21"/>
          <w:sz w:val="32"/>
          <w:szCs w:val="32"/>
          <w:lang w:val="en-US" w:eastAsia="zh-CN"/>
        </w:rPr>
        <w:t>181.83</w:t>
      </w:r>
      <w:r>
        <w:rPr>
          <w:rFonts w:ascii="Times New Roman" w:hAnsi="Times New Roman" w:eastAsia="仿宋_GB2312" w:cs="Times New Roman"/>
          <w:snapToGrid/>
          <w:kern w:val="21"/>
          <w:sz w:val="32"/>
          <w:szCs w:val="32"/>
          <w:lang w:eastAsia="zh-CN"/>
        </w:rPr>
        <w:t>万元，较上年预算安排</w:t>
      </w:r>
      <w:r>
        <w:rPr>
          <w:rFonts w:hint="eastAsia" w:ascii="Times New Roman" w:hAnsi="Times New Roman" w:eastAsia="仿宋_GB2312" w:cs="Times New Roman"/>
          <w:snapToGrid/>
          <w:kern w:val="21"/>
          <w:sz w:val="32"/>
          <w:szCs w:val="32"/>
          <w:lang w:val="en-US" w:eastAsia="zh-CN"/>
        </w:rPr>
        <w:t>增加110.87</w:t>
      </w:r>
      <w:r>
        <w:rPr>
          <w:rFonts w:ascii="Times New Roman" w:hAnsi="Times New Roman" w:eastAsia="仿宋_GB2312" w:cs="Times New Roman"/>
          <w:snapToGrid/>
          <w:kern w:val="21"/>
          <w:sz w:val="32"/>
          <w:szCs w:val="32"/>
          <w:lang w:eastAsia="zh-CN"/>
        </w:rPr>
        <w:t>万元，主要原因是</w:t>
      </w:r>
      <w:r>
        <w:rPr>
          <w:rFonts w:hint="eastAsia" w:ascii="Times New Roman" w:hAnsi="Times New Roman" w:eastAsia="仿宋_GB2312" w:cs="Times New Roman"/>
          <w:snapToGrid/>
          <w:kern w:val="21"/>
          <w:sz w:val="32"/>
          <w:szCs w:val="32"/>
          <w:lang w:eastAsia="zh-CN"/>
        </w:rPr>
        <w:t>：</w:t>
      </w:r>
      <w:r>
        <w:rPr>
          <w:rFonts w:hint="eastAsia" w:ascii="Times New Roman" w:hAnsi="Times New Roman" w:eastAsia="仿宋_GB2312" w:cs="Times New Roman"/>
          <w:snapToGrid/>
          <w:kern w:val="21"/>
          <w:sz w:val="32"/>
          <w:szCs w:val="32"/>
          <w:lang w:val="en-US" w:eastAsia="zh-CN"/>
        </w:rPr>
        <w:t>上年度退休人员绩效在文化旅游体育与传媒科目中支出</w:t>
      </w:r>
      <w:r>
        <w:rPr>
          <w:rFonts w:hint="eastAsia" w:ascii="Times New Roman" w:hAnsi="Times New Roman" w:eastAsia="仿宋_GB2312" w:cs="Times New Roman"/>
          <w:snapToGrid/>
          <w:kern w:val="21"/>
          <w:sz w:val="32"/>
          <w:szCs w:val="32"/>
          <w:lang w:eastAsia="zh-CN"/>
        </w:rPr>
        <w:t>；卫生健康支出</w:t>
      </w:r>
      <w:r>
        <w:rPr>
          <w:rFonts w:hint="eastAsia" w:ascii="Times New Roman" w:hAnsi="Times New Roman" w:eastAsia="仿宋_GB2312" w:cs="Times New Roman"/>
          <w:snapToGrid/>
          <w:kern w:val="21"/>
          <w:sz w:val="32"/>
          <w:szCs w:val="32"/>
          <w:lang w:val="en-US" w:eastAsia="zh-CN"/>
        </w:rPr>
        <w:t>62.27</w:t>
      </w:r>
      <w:r>
        <w:rPr>
          <w:rFonts w:ascii="Times New Roman" w:hAnsi="Times New Roman" w:eastAsia="仿宋_GB2312" w:cs="Times New Roman"/>
          <w:snapToGrid/>
          <w:kern w:val="21"/>
          <w:sz w:val="32"/>
          <w:szCs w:val="32"/>
          <w:lang w:eastAsia="zh-CN"/>
        </w:rPr>
        <w:t>万元，较上年预算安排减少</w:t>
      </w:r>
      <w:r>
        <w:rPr>
          <w:rFonts w:hint="eastAsia" w:ascii="Times New Roman" w:hAnsi="Times New Roman" w:eastAsia="仿宋_GB2312" w:cs="Times New Roman"/>
          <w:snapToGrid/>
          <w:kern w:val="21"/>
          <w:sz w:val="32"/>
          <w:szCs w:val="32"/>
          <w:lang w:val="en-US" w:eastAsia="zh-CN"/>
        </w:rPr>
        <w:t>0.91</w:t>
      </w:r>
      <w:r>
        <w:rPr>
          <w:rFonts w:ascii="Times New Roman" w:hAnsi="Times New Roman" w:eastAsia="仿宋_GB2312" w:cs="Times New Roman"/>
          <w:snapToGrid/>
          <w:kern w:val="21"/>
          <w:sz w:val="32"/>
          <w:szCs w:val="32"/>
          <w:lang w:eastAsia="zh-CN"/>
        </w:rPr>
        <w:t>万元，主要原因是</w:t>
      </w:r>
      <w:r>
        <w:rPr>
          <w:rFonts w:hint="eastAsia" w:ascii="Times New Roman" w:hAnsi="Times New Roman" w:eastAsia="仿宋_GB2312" w:cs="Times New Roman"/>
          <w:snapToGrid/>
          <w:kern w:val="21"/>
          <w:sz w:val="32"/>
          <w:szCs w:val="32"/>
          <w:lang w:eastAsia="zh-CN"/>
        </w:rPr>
        <w:t>：</w:t>
      </w:r>
      <w:r>
        <w:rPr>
          <w:rFonts w:hint="eastAsia" w:ascii="Times New Roman" w:hAnsi="Times New Roman" w:eastAsia="仿宋_GB2312" w:cs="Times New Roman"/>
          <w:snapToGrid/>
          <w:kern w:val="21"/>
          <w:sz w:val="32"/>
          <w:szCs w:val="32"/>
          <w:lang w:val="en-US" w:eastAsia="zh-CN"/>
        </w:rPr>
        <w:t>因本年度调入一人，在职转退休一人，产生的人员预算差异</w:t>
      </w:r>
      <w:r>
        <w:rPr>
          <w:rFonts w:hint="eastAsia" w:ascii="Times New Roman" w:hAnsi="Times New Roman" w:eastAsia="仿宋_GB2312" w:cs="Times New Roman"/>
          <w:snapToGrid/>
          <w:kern w:val="21"/>
          <w:sz w:val="32"/>
          <w:szCs w:val="32"/>
          <w:lang w:eastAsia="zh-CN"/>
        </w:rPr>
        <w:t>；住房保障支出</w:t>
      </w:r>
      <w:r>
        <w:rPr>
          <w:rFonts w:hint="eastAsia" w:ascii="Times New Roman" w:hAnsi="Times New Roman" w:eastAsia="仿宋_GB2312" w:cs="Times New Roman"/>
          <w:snapToGrid/>
          <w:kern w:val="21"/>
          <w:sz w:val="32"/>
          <w:szCs w:val="32"/>
          <w:lang w:val="en-US" w:eastAsia="zh-CN"/>
        </w:rPr>
        <w:t>58.53</w:t>
      </w:r>
      <w:r>
        <w:rPr>
          <w:rFonts w:ascii="Times New Roman" w:hAnsi="Times New Roman" w:eastAsia="仿宋_GB2312" w:cs="Times New Roman"/>
          <w:snapToGrid/>
          <w:kern w:val="21"/>
          <w:sz w:val="32"/>
          <w:szCs w:val="32"/>
          <w:lang w:eastAsia="zh-CN"/>
        </w:rPr>
        <w:t>万元，较上年预算安排减少</w:t>
      </w:r>
      <w:r>
        <w:rPr>
          <w:rFonts w:hint="eastAsia" w:ascii="Times New Roman" w:hAnsi="Times New Roman" w:eastAsia="仿宋_GB2312" w:cs="Times New Roman"/>
          <w:snapToGrid/>
          <w:kern w:val="21"/>
          <w:sz w:val="32"/>
          <w:szCs w:val="32"/>
          <w:lang w:val="en-US" w:eastAsia="zh-CN"/>
        </w:rPr>
        <w:t>1.48</w:t>
      </w:r>
      <w:r>
        <w:rPr>
          <w:rFonts w:ascii="Times New Roman" w:hAnsi="Times New Roman" w:eastAsia="仿宋_GB2312" w:cs="Times New Roman"/>
          <w:snapToGrid/>
          <w:kern w:val="21"/>
          <w:sz w:val="32"/>
          <w:szCs w:val="32"/>
          <w:lang w:eastAsia="zh-CN"/>
        </w:rPr>
        <w:t>万元，主要原因是</w:t>
      </w:r>
      <w:r>
        <w:rPr>
          <w:rFonts w:hint="eastAsia" w:ascii="Times New Roman" w:hAnsi="Times New Roman" w:eastAsia="仿宋_GB2312" w:cs="Times New Roman"/>
          <w:snapToGrid/>
          <w:kern w:val="21"/>
          <w:sz w:val="32"/>
          <w:szCs w:val="32"/>
          <w:lang w:eastAsia="zh-CN"/>
        </w:rPr>
        <w:t>：</w:t>
      </w:r>
      <w:r>
        <w:rPr>
          <w:rFonts w:hint="eastAsia" w:ascii="Times New Roman" w:hAnsi="Times New Roman" w:eastAsia="仿宋_GB2312" w:cs="Times New Roman"/>
          <w:snapToGrid/>
          <w:kern w:val="21"/>
          <w:sz w:val="32"/>
          <w:szCs w:val="32"/>
          <w:lang w:val="en-US" w:eastAsia="zh-CN"/>
        </w:rPr>
        <w:t>因本年度调入一人，在职转退休一人，产生的人员预算差异</w:t>
      </w:r>
      <w:r>
        <w:rPr>
          <w:rFonts w:ascii="Times New Roman" w:hAnsi="Times New Roman" w:eastAsia="仿宋_GB2312" w:cs="Times New Roman"/>
          <w:snapToGrid/>
          <w:kern w:val="21"/>
          <w:sz w:val="32"/>
          <w:szCs w:val="32"/>
          <w:lang w:eastAsia="zh-CN"/>
        </w:rPr>
        <w:t>。</w:t>
      </w:r>
    </w:p>
    <w:p w14:paraId="1C9D10DB">
      <w:pPr>
        <w:widowControl w:val="0"/>
        <w:kinsoku/>
        <w:overflowPunct w:val="0"/>
        <w:topLinePunct/>
        <w:autoSpaceDE/>
        <w:autoSpaceDN/>
        <w:spacing w:line="560" w:lineRule="exact"/>
        <w:ind w:firstLine="640" w:firstLineChars="200"/>
        <w:jc w:val="both"/>
        <w:rPr>
          <w:rFonts w:ascii="Times New Roman" w:hAnsi="Times New Roman" w:eastAsia="仿宋_GB2312" w:cs="Times New Roman"/>
          <w:snapToGrid/>
          <w:kern w:val="21"/>
          <w:sz w:val="32"/>
          <w:szCs w:val="32"/>
          <w:lang w:eastAsia="zh-CN"/>
        </w:rPr>
      </w:pPr>
      <w:r>
        <w:rPr>
          <w:rFonts w:ascii="Times New Roman" w:hAnsi="Times New Roman" w:eastAsia="仿宋_GB2312" w:cs="Times New Roman"/>
          <w:snapToGrid/>
          <w:kern w:val="21"/>
          <w:sz w:val="32"/>
          <w:szCs w:val="32"/>
          <w:lang w:eastAsia="zh-CN"/>
        </w:rPr>
        <w:t>按支出项目类别划分：基本支出</w:t>
      </w:r>
      <w:r>
        <w:rPr>
          <w:rFonts w:hint="eastAsia" w:ascii="Times New Roman" w:hAnsi="Times New Roman" w:eastAsia="仿宋_GB2312" w:cs="Times New Roman"/>
          <w:snapToGrid/>
          <w:kern w:val="21"/>
          <w:sz w:val="32"/>
          <w:szCs w:val="32"/>
          <w:lang w:val="en-US" w:eastAsia="zh-CN"/>
        </w:rPr>
        <w:t>777.68</w:t>
      </w:r>
      <w:r>
        <w:rPr>
          <w:rFonts w:ascii="Times New Roman" w:hAnsi="Times New Roman" w:eastAsia="仿宋_GB2312" w:cs="Times New Roman"/>
          <w:snapToGrid/>
          <w:kern w:val="21"/>
          <w:sz w:val="32"/>
          <w:szCs w:val="32"/>
          <w:lang w:eastAsia="zh-CN"/>
        </w:rPr>
        <w:t>万元，较上年预算安排减少</w:t>
      </w:r>
      <w:r>
        <w:rPr>
          <w:rFonts w:hint="eastAsia" w:ascii="Times New Roman" w:hAnsi="Times New Roman" w:eastAsia="仿宋_GB2312" w:cs="Times New Roman"/>
          <w:snapToGrid/>
          <w:kern w:val="21"/>
          <w:sz w:val="32"/>
          <w:szCs w:val="32"/>
          <w:lang w:val="en-US" w:eastAsia="zh-CN"/>
        </w:rPr>
        <w:t>19.42</w:t>
      </w:r>
      <w:r>
        <w:rPr>
          <w:rFonts w:ascii="Times New Roman" w:hAnsi="Times New Roman" w:eastAsia="仿宋_GB2312" w:cs="Times New Roman"/>
          <w:snapToGrid/>
          <w:kern w:val="21"/>
          <w:sz w:val="32"/>
          <w:szCs w:val="32"/>
          <w:lang w:eastAsia="zh-CN"/>
        </w:rPr>
        <w:t>万元，主要原因是</w:t>
      </w:r>
      <w:r>
        <w:rPr>
          <w:rFonts w:hint="eastAsia" w:ascii="Times New Roman" w:hAnsi="Times New Roman" w:eastAsia="仿宋_GB2312" w:cs="Times New Roman"/>
          <w:snapToGrid/>
          <w:kern w:val="21"/>
          <w:sz w:val="32"/>
          <w:szCs w:val="32"/>
          <w:lang w:eastAsia="zh-CN"/>
        </w:rPr>
        <w:t>：落实过紧日子，压缩一般性支出；</w:t>
      </w:r>
      <w:r>
        <w:rPr>
          <w:rFonts w:ascii="Times New Roman" w:hAnsi="Times New Roman" w:eastAsia="仿宋_GB2312" w:cs="Times New Roman"/>
          <w:snapToGrid/>
          <w:kern w:val="21"/>
          <w:sz w:val="32"/>
          <w:szCs w:val="32"/>
          <w:lang w:eastAsia="zh-CN"/>
        </w:rPr>
        <w:t>其中：工资福利支出</w:t>
      </w:r>
      <w:r>
        <w:rPr>
          <w:rFonts w:hint="eastAsia" w:ascii="Times New Roman" w:hAnsi="Times New Roman" w:eastAsia="仿宋_GB2312" w:cs="Times New Roman"/>
          <w:snapToGrid/>
          <w:kern w:val="21"/>
          <w:sz w:val="32"/>
          <w:szCs w:val="32"/>
          <w:lang w:val="en-US" w:eastAsia="zh-CN"/>
        </w:rPr>
        <w:t>600.49</w:t>
      </w:r>
      <w:r>
        <w:rPr>
          <w:rFonts w:ascii="Times New Roman" w:hAnsi="Times New Roman" w:eastAsia="仿宋_GB2312" w:cs="Times New Roman"/>
          <w:snapToGrid/>
          <w:kern w:val="21"/>
          <w:sz w:val="32"/>
          <w:szCs w:val="32"/>
          <w:lang w:eastAsia="zh-CN"/>
        </w:rPr>
        <w:t>万元、商品和服务支出</w:t>
      </w:r>
      <w:r>
        <w:rPr>
          <w:rFonts w:hint="eastAsia" w:ascii="Times New Roman" w:hAnsi="Times New Roman" w:eastAsia="仿宋_GB2312" w:cs="Times New Roman"/>
          <w:snapToGrid/>
          <w:kern w:val="21"/>
          <w:sz w:val="32"/>
          <w:szCs w:val="32"/>
          <w:lang w:val="en-US" w:eastAsia="zh-CN"/>
        </w:rPr>
        <w:t>64.35</w:t>
      </w:r>
      <w:r>
        <w:rPr>
          <w:rFonts w:ascii="Times New Roman" w:hAnsi="Times New Roman" w:eastAsia="仿宋_GB2312" w:cs="Times New Roman"/>
          <w:snapToGrid/>
          <w:kern w:val="21"/>
          <w:sz w:val="32"/>
          <w:szCs w:val="32"/>
          <w:lang w:eastAsia="zh-CN"/>
        </w:rPr>
        <w:t>万元、对个人和家庭的补助</w:t>
      </w:r>
      <w:r>
        <w:rPr>
          <w:rFonts w:hint="eastAsia" w:ascii="Times New Roman" w:hAnsi="Times New Roman" w:eastAsia="仿宋_GB2312" w:cs="Times New Roman"/>
          <w:snapToGrid/>
          <w:kern w:val="21"/>
          <w:sz w:val="32"/>
          <w:szCs w:val="32"/>
          <w:lang w:val="en-US" w:eastAsia="zh-CN"/>
        </w:rPr>
        <w:t>112.84</w:t>
      </w:r>
      <w:r>
        <w:rPr>
          <w:rFonts w:ascii="Times New Roman" w:hAnsi="Times New Roman" w:eastAsia="仿宋_GB2312" w:cs="Times New Roman"/>
          <w:snapToGrid/>
          <w:kern w:val="21"/>
          <w:sz w:val="32"/>
          <w:szCs w:val="32"/>
          <w:lang w:eastAsia="zh-CN"/>
        </w:rPr>
        <w:t>万元；项目支出</w:t>
      </w:r>
      <w:r>
        <w:rPr>
          <w:rFonts w:hint="eastAsia" w:ascii="Times New Roman" w:hAnsi="Times New Roman" w:eastAsia="仿宋_GB2312" w:cs="Times New Roman"/>
          <w:snapToGrid/>
          <w:kern w:val="21"/>
          <w:sz w:val="32"/>
          <w:szCs w:val="32"/>
          <w:lang w:val="en-US" w:eastAsia="zh-CN"/>
        </w:rPr>
        <w:t>172</w:t>
      </w:r>
      <w:r>
        <w:rPr>
          <w:rFonts w:ascii="Times New Roman" w:hAnsi="Times New Roman" w:eastAsia="仿宋_GB2312" w:cs="Times New Roman"/>
          <w:snapToGrid/>
          <w:kern w:val="21"/>
          <w:sz w:val="32"/>
          <w:szCs w:val="32"/>
          <w:lang w:eastAsia="zh-CN"/>
        </w:rPr>
        <w:t>万元，较上年预算安排</w:t>
      </w:r>
      <w:r>
        <w:rPr>
          <w:rFonts w:hint="eastAsia" w:ascii="Times New Roman" w:hAnsi="Times New Roman" w:eastAsia="仿宋_GB2312" w:cs="Times New Roman"/>
          <w:snapToGrid/>
          <w:kern w:val="21"/>
          <w:sz w:val="32"/>
          <w:szCs w:val="32"/>
          <w:lang w:val="en-US" w:eastAsia="zh-CN"/>
        </w:rPr>
        <w:t>一致</w:t>
      </w:r>
      <w:r>
        <w:rPr>
          <w:rFonts w:hint="eastAsia" w:ascii="Times New Roman" w:hAnsi="Times New Roman" w:eastAsia="仿宋_GB2312" w:cs="Times New Roman"/>
          <w:snapToGrid/>
          <w:kern w:val="21"/>
          <w:sz w:val="32"/>
          <w:szCs w:val="32"/>
          <w:lang w:eastAsia="zh-CN"/>
        </w:rPr>
        <w:t>；</w:t>
      </w:r>
      <w:r>
        <w:rPr>
          <w:rFonts w:ascii="Times New Roman" w:hAnsi="Times New Roman" w:eastAsia="仿宋_GB2312" w:cs="Times New Roman"/>
          <w:snapToGrid/>
          <w:kern w:val="21"/>
          <w:sz w:val="32"/>
          <w:szCs w:val="32"/>
          <w:lang w:eastAsia="zh-CN"/>
        </w:rPr>
        <w:t>其中：工资福利支出</w:t>
      </w:r>
      <w:r>
        <w:rPr>
          <w:rFonts w:hint="eastAsia" w:ascii="Times New Roman" w:hAnsi="Times New Roman" w:eastAsia="仿宋_GB2312" w:cs="Times New Roman"/>
          <w:snapToGrid/>
          <w:kern w:val="21"/>
          <w:sz w:val="32"/>
          <w:szCs w:val="32"/>
          <w:lang w:val="en-US" w:eastAsia="zh-CN"/>
        </w:rPr>
        <w:t>27</w:t>
      </w:r>
      <w:r>
        <w:rPr>
          <w:rFonts w:ascii="Times New Roman" w:hAnsi="Times New Roman" w:eastAsia="仿宋_GB2312" w:cs="Times New Roman"/>
          <w:snapToGrid/>
          <w:kern w:val="21"/>
          <w:sz w:val="32"/>
          <w:szCs w:val="32"/>
          <w:lang w:eastAsia="zh-CN"/>
        </w:rPr>
        <w:t>万元、商品和服务支出</w:t>
      </w:r>
      <w:r>
        <w:rPr>
          <w:rFonts w:hint="eastAsia" w:ascii="Times New Roman" w:hAnsi="Times New Roman" w:eastAsia="仿宋_GB2312" w:cs="Times New Roman"/>
          <w:snapToGrid/>
          <w:kern w:val="21"/>
          <w:sz w:val="32"/>
          <w:szCs w:val="32"/>
          <w:lang w:val="en-US" w:eastAsia="zh-CN"/>
        </w:rPr>
        <w:t>122</w:t>
      </w:r>
      <w:r>
        <w:rPr>
          <w:rFonts w:ascii="Times New Roman" w:hAnsi="Times New Roman" w:eastAsia="仿宋_GB2312" w:cs="Times New Roman"/>
          <w:snapToGrid/>
          <w:kern w:val="21"/>
          <w:sz w:val="32"/>
          <w:szCs w:val="32"/>
          <w:lang w:eastAsia="zh-CN"/>
        </w:rPr>
        <w:t>万元、对个人和家庭的补助</w:t>
      </w:r>
      <w:r>
        <w:rPr>
          <w:rFonts w:hint="eastAsia" w:ascii="Times New Roman" w:hAnsi="Times New Roman" w:eastAsia="仿宋_GB2312" w:cs="Times New Roman"/>
          <w:snapToGrid/>
          <w:kern w:val="21"/>
          <w:sz w:val="32"/>
          <w:szCs w:val="32"/>
          <w:lang w:val="en-US" w:eastAsia="zh-CN"/>
        </w:rPr>
        <w:t>0</w:t>
      </w:r>
      <w:r>
        <w:rPr>
          <w:rFonts w:ascii="Times New Roman" w:hAnsi="Times New Roman" w:eastAsia="仿宋_GB2312" w:cs="Times New Roman"/>
          <w:snapToGrid/>
          <w:kern w:val="21"/>
          <w:sz w:val="32"/>
          <w:szCs w:val="32"/>
          <w:lang w:eastAsia="zh-CN"/>
        </w:rPr>
        <w:t>万元、资本性支出</w:t>
      </w:r>
      <w:r>
        <w:rPr>
          <w:rFonts w:hint="eastAsia" w:ascii="Times New Roman" w:hAnsi="Times New Roman" w:eastAsia="仿宋_GB2312" w:cs="Times New Roman"/>
          <w:snapToGrid/>
          <w:kern w:val="21"/>
          <w:sz w:val="32"/>
          <w:szCs w:val="32"/>
          <w:lang w:val="en-US" w:eastAsia="zh-CN"/>
        </w:rPr>
        <w:t>23</w:t>
      </w:r>
      <w:r>
        <w:rPr>
          <w:rFonts w:ascii="Times New Roman" w:hAnsi="Times New Roman" w:eastAsia="仿宋_GB2312" w:cs="Times New Roman"/>
          <w:snapToGrid/>
          <w:kern w:val="21"/>
          <w:sz w:val="32"/>
          <w:szCs w:val="32"/>
          <w:lang w:eastAsia="zh-CN"/>
        </w:rPr>
        <w:t>万元</w:t>
      </w:r>
    </w:p>
    <w:p w14:paraId="7DDBAEA3">
      <w:pPr>
        <w:widowControl w:val="0"/>
        <w:kinsoku/>
        <w:overflowPunct w:val="0"/>
        <w:topLinePunct/>
        <w:autoSpaceDE/>
        <w:autoSpaceDN/>
        <w:spacing w:line="560" w:lineRule="exact"/>
        <w:ind w:firstLine="640" w:firstLineChars="200"/>
        <w:jc w:val="both"/>
        <w:rPr>
          <w:rFonts w:ascii="楷体_GB2312" w:hAnsi="楷体_GB2312" w:eastAsia="楷体_GB2312" w:cs="楷体_GB2312"/>
          <w:snapToGrid/>
          <w:kern w:val="21"/>
          <w:sz w:val="32"/>
          <w:szCs w:val="32"/>
          <w:lang w:eastAsia="zh-CN"/>
        </w:rPr>
      </w:pPr>
      <w:r>
        <w:rPr>
          <w:rFonts w:hint="eastAsia" w:ascii="楷体_GB2312" w:hAnsi="楷体_GB2312" w:eastAsia="楷体_GB2312" w:cs="楷体_GB2312"/>
          <w:snapToGrid/>
          <w:kern w:val="21"/>
          <w:sz w:val="32"/>
          <w:szCs w:val="32"/>
          <w:lang w:eastAsia="zh-CN"/>
        </w:rPr>
        <w:t>（四）政府性基金情况</w:t>
      </w:r>
    </w:p>
    <w:p w14:paraId="14B4E1DD">
      <w:pPr>
        <w:pStyle w:val="2"/>
        <w:widowControl w:val="0"/>
        <w:kinsoku/>
        <w:overflowPunct w:val="0"/>
        <w:topLinePunct/>
        <w:autoSpaceDE/>
        <w:autoSpaceDN/>
        <w:spacing w:line="560" w:lineRule="exact"/>
        <w:ind w:firstLine="639"/>
        <w:jc w:val="both"/>
        <w:rPr>
          <w:rFonts w:ascii="Times New Roman" w:hAnsi="Times New Roman" w:eastAsia="仿宋_GB2312" w:cs="Times New Roman"/>
          <w:snapToGrid/>
          <w:kern w:val="21"/>
          <w:sz w:val="32"/>
          <w:szCs w:val="32"/>
          <w:lang w:eastAsia="zh-CN"/>
        </w:rPr>
      </w:pPr>
      <w:r>
        <w:rPr>
          <w:rFonts w:ascii="Times New Roman" w:hAnsi="Times New Roman" w:eastAsia="仿宋_GB2312" w:cs="Times New Roman"/>
          <w:snapToGrid/>
          <w:kern w:val="21"/>
          <w:sz w:val="32"/>
          <w:szCs w:val="32"/>
          <w:lang w:eastAsia="zh-CN"/>
        </w:rPr>
        <w:t>本单位没有使用政府性基金预算拨款安排的支出。</w:t>
      </w:r>
    </w:p>
    <w:p w14:paraId="6E571355">
      <w:pPr>
        <w:widowControl w:val="0"/>
        <w:kinsoku/>
        <w:overflowPunct w:val="0"/>
        <w:topLinePunct/>
        <w:autoSpaceDE/>
        <w:autoSpaceDN/>
        <w:spacing w:line="560" w:lineRule="exact"/>
        <w:ind w:firstLine="640" w:firstLineChars="200"/>
        <w:jc w:val="both"/>
        <w:rPr>
          <w:rFonts w:ascii="楷体_GB2312" w:hAnsi="楷体_GB2312" w:eastAsia="楷体_GB2312" w:cs="楷体_GB2312"/>
          <w:snapToGrid/>
          <w:kern w:val="21"/>
          <w:sz w:val="32"/>
          <w:szCs w:val="32"/>
          <w:lang w:eastAsia="zh-CN"/>
        </w:rPr>
      </w:pPr>
      <w:r>
        <w:rPr>
          <w:rFonts w:hint="eastAsia" w:ascii="楷体_GB2312" w:hAnsi="楷体_GB2312" w:eastAsia="楷体_GB2312" w:cs="楷体_GB2312"/>
          <w:snapToGrid/>
          <w:kern w:val="21"/>
          <w:sz w:val="32"/>
          <w:szCs w:val="32"/>
          <w:lang w:eastAsia="zh-CN"/>
        </w:rPr>
        <w:t>（五）国有资本经营情况</w:t>
      </w:r>
    </w:p>
    <w:p w14:paraId="582487F1">
      <w:pPr>
        <w:pStyle w:val="2"/>
        <w:widowControl w:val="0"/>
        <w:kinsoku/>
        <w:overflowPunct w:val="0"/>
        <w:topLinePunct/>
        <w:autoSpaceDE/>
        <w:autoSpaceDN/>
        <w:spacing w:line="560" w:lineRule="exact"/>
        <w:ind w:firstLine="639"/>
        <w:jc w:val="both"/>
        <w:rPr>
          <w:rFonts w:ascii="Times New Roman" w:hAnsi="Times New Roman" w:eastAsia="仿宋_GB2312" w:cs="Times New Roman"/>
          <w:snapToGrid/>
          <w:kern w:val="21"/>
          <w:sz w:val="32"/>
          <w:szCs w:val="32"/>
          <w:lang w:eastAsia="zh-CN"/>
        </w:rPr>
      </w:pPr>
      <w:r>
        <w:rPr>
          <w:rFonts w:ascii="Times New Roman" w:hAnsi="Times New Roman" w:eastAsia="仿宋_GB2312" w:cs="Times New Roman"/>
          <w:snapToGrid/>
          <w:kern w:val="21"/>
          <w:sz w:val="32"/>
          <w:szCs w:val="32"/>
          <w:lang w:eastAsia="zh-CN"/>
        </w:rPr>
        <w:t>本单位没有使用国有资本经营预算拨款安排的支出。</w:t>
      </w:r>
    </w:p>
    <w:p w14:paraId="23CE31C7">
      <w:pPr>
        <w:widowControl w:val="0"/>
        <w:kinsoku/>
        <w:overflowPunct w:val="0"/>
        <w:topLinePunct/>
        <w:autoSpaceDE/>
        <w:autoSpaceDN/>
        <w:spacing w:line="560" w:lineRule="exact"/>
        <w:ind w:firstLine="640" w:firstLineChars="200"/>
        <w:jc w:val="both"/>
        <w:rPr>
          <w:rFonts w:ascii="楷体_GB2312" w:hAnsi="楷体_GB2312" w:eastAsia="楷体_GB2312" w:cs="楷体_GB2312"/>
          <w:snapToGrid/>
          <w:kern w:val="21"/>
          <w:sz w:val="32"/>
          <w:szCs w:val="32"/>
          <w:lang w:eastAsia="zh-CN"/>
        </w:rPr>
      </w:pPr>
      <w:r>
        <w:rPr>
          <w:rFonts w:hint="eastAsia" w:ascii="楷体_GB2312" w:hAnsi="楷体_GB2312" w:eastAsia="楷体_GB2312" w:cs="楷体_GB2312"/>
          <w:snapToGrid/>
          <w:kern w:val="21"/>
          <w:sz w:val="32"/>
          <w:szCs w:val="32"/>
          <w:lang w:eastAsia="zh-CN"/>
        </w:rPr>
        <w:t>（六）机关运行经费等重要情况说明</w:t>
      </w:r>
    </w:p>
    <w:p w14:paraId="14C7DB3A">
      <w:pPr>
        <w:pStyle w:val="2"/>
        <w:widowControl w:val="0"/>
        <w:kinsoku/>
        <w:overflowPunct w:val="0"/>
        <w:topLinePunct/>
        <w:autoSpaceDE/>
        <w:autoSpaceDN/>
        <w:spacing w:line="560" w:lineRule="exact"/>
        <w:ind w:firstLine="619"/>
        <w:jc w:val="both"/>
        <w:rPr>
          <w:rFonts w:ascii="Times New Roman" w:hAnsi="Times New Roman" w:eastAsia="仿宋_GB2312" w:cs="Times New Roman"/>
          <w:snapToGrid/>
          <w:kern w:val="21"/>
          <w:sz w:val="32"/>
          <w:szCs w:val="32"/>
          <w:lang w:eastAsia="zh-CN"/>
        </w:rPr>
      </w:pPr>
      <w:r>
        <w:rPr>
          <w:rFonts w:ascii="Times New Roman" w:hAnsi="Times New Roman" w:eastAsia="仿宋_GB2312" w:cs="Times New Roman"/>
          <w:snapToGrid/>
          <w:kern w:val="21"/>
          <w:sz w:val="32"/>
          <w:szCs w:val="32"/>
          <w:lang w:eastAsia="zh-CN"/>
        </w:rPr>
        <w:t>本单位非行政参公单位，无机关运行经费</w:t>
      </w:r>
      <w:r>
        <w:rPr>
          <w:rFonts w:hint="eastAsia" w:ascii="Times New Roman" w:hAnsi="Times New Roman" w:eastAsia="仿宋_GB2312" w:cs="Times New Roman"/>
          <w:snapToGrid/>
          <w:kern w:val="21"/>
          <w:sz w:val="32"/>
          <w:szCs w:val="32"/>
          <w:lang w:eastAsia="zh-CN"/>
        </w:rPr>
        <w:t>。</w:t>
      </w:r>
    </w:p>
    <w:p w14:paraId="59FB2CAE">
      <w:pPr>
        <w:widowControl w:val="0"/>
        <w:kinsoku/>
        <w:overflowPunct w:val="0"/>
        <w:topLinePunct/>
        <w:autoSpaceDE/>
        <w:autoSpaceDN/>
        <w:spacing w:line="560" w:lineRule="exact"/>
        <w:ind w:firstLine="640" w:firstLineChars="200"/>
        <w:jc w:val="both"/>
        <w:rPr>
          <w:rFonts w:ascii="楷体_GB2312" w:hAnsi="楷体_GB2312" w:eastAsia="楷体_GB2312" w:cs="楷体_GB2312"/>
          <w:snapToGrid/>
          <w:kern w:val="21"/>
          <w:sz w:val="32"/>
          <w:szCs w:val="32"/>
          <w:lang w:eastAsia="zh-CN"/>
        </w:rPr>
      </w:pPr>
      <w:r>
        <w:rPr>
          <w:rFonts w:hint="eastAsia" w:ascii="楷体_GB2312" w:hAnsi="楷体_GB2312" w:eastAsia="楷体_GB2312" w:cs="楷体_GB2312"/>
          <w:snapToGrid/>
          <w:kern w:val="21"/>
          <w:sz w:val="32"/>
          <w:szCs w:val="32"/>
          <w:lang w:eastAsia="zh-CN"/>
        </w:rPr>
        <w:t>（七）政府采购情况说明</w:t>
      </w:r>
    </w:p>
    <w:p w14:paraId="424C0EB9">
      <w:pPr>
        <w:pStyle w:val="2"/>
        <w:widowControl w:val="0"/>
        <w:kinsoku/>
        <w:overflowPunct w:val="0"/>
        <w:topLinePunct/>
        <w:autoSpaceDE/>
        <w:autoSpaceDN/>
        <w:spacing w:line="560" w:lineRule="exact"/>
        <w:ind w:firstLine="619"/>
        <w:jc w:val="both"/>
        <w:rPr>
          <w:rFonts w:ascii="Times New Roman" w:hAnsi="Times New Roman" w:eastAsia="仿宋_GB2312" w:cs="Times New Roman"/>
          <w:snapToGrid/>
          <w:kern w:val="21"/>
          <w:sz w:val="32"/>
          <w:szCs w:val="32"/>
          <w:lang w:eastAsia="zh-CN"/>
        </w:rPr>
      </w:pPr>
      <w:r>
        <w:rPr>
          <w:rFonts w:ascii="Times New Roman" w:hAnsi="Times New Roman" w:eastAsia="仿宋_GB2312" w:cs="Times New Roman"/>
          <w:snapToGrid/>
          <w:kern w:val="21"/>
          <w:sz w:val="32"/>
          <w:szCs w:val="32"/>
          <w:lang w:eastAsia="zh-CN"/>
        </w:rPr>
        <w:t>202</w:t>
      </w:r>
      <w:r>
        <w:rPr>
          <w:rFonts w:hint="eastAsia" w:ascii="Times New Roman" w:hAnsi="Times New Roman" w:eastAsia="仿宋_GB2312" w:cs="Times New Roman"/>
          <w:snapToGrid/>
          <w:kern w:val="21"/>
          <w:sz w:val="32"/>
          <w:szCs w:val="32"/>
          <w:lang w:val="en-US" w:eastAsia="zh-CN"/>
        </w:rPr>
        <w:t>5</w:t>
      </w:r>
      <w:r>
        <w:rPr>
          <w:rFonts w:ascii="Times New Roman" w:hAnsi="Times New Roman" w:eastAsia="仿宋_GB2312" w:cs="Times New Roman"/>
          <w:snapToGrid/>
          <w:kern w:val="21"/>
          <w:sz w:val="32"/>
          <w:szCs w:val="32"/>
          <w:lang w:eastAsia="zh-CN"/>
        </w:rPr>
        <w:t>年单位所属各单位政府采购预算总额</w:t>
      </w:r>
      <w:r>
        <w:rPr>
          <w:rFonts w:hint="eastAsia" w:ascii="Times New Roman" w:hAnsi="Times New Roman" w:eastAsia="仿宋_GB2312" w:cs="Times New Roman"/>
          <w:snapToGrid/>
          <w:kern w:val="21"/>
          <w:sz w:val="32"/>
          <w:szCs w:val="32"/>
          <w:lang w:val="en-US" w:eastAsia="zh-CN"/>
        </w:rPr>
        <w:t>28.74</w:t>
      </w:r>
      <w:r>
        <w:rPr>
          <w:rFonts w:ascii="Times New Roman" w:hAnsi="Times New Roman" w:eastAsia="仿宋_GB2312" w:cs="Times New Roman"/>
          <w:snapToGrid/>
          <w:kern w:val="21"/>
          <w:sz w:val="32"/>
          <w:szCs w:val="32"/>
          <w:lang w:eastAsia="zh-CN"/>
        </w:rPr>
        <w:t>万元。其中，政府采购货物预算</w:t>
      </w:r>
      <w:r>
        <w:rPr>
          <w:rFonts w:hint="eastAsia" w:ascii="Times New Roman" w:hAnsi="Times New Roman" w:eastAsia="仿宋_GB2312" w:cs="Times New Roman"/>
          <w:snapToGrid/>
          <w:kern w:val="21"/>
          <w:sz w:val="32"/>
          <w:szCs w:val="32"/>
          <w:lang w:val="en-US" w:eastAsia="zh-CN"/>
        </w:rPr>
        <w:t>25.24</w:t>
      </w:r>
      <w:r>
        <w:rPr>
          <w:rFonts w:ascii="Times New Roman" w:hAnsi="Times New Roman" w:eastAsia="仿宋_GB2312" w:cs="Times New Roman"/>
          <w:snapToGrid/>
          <w:kern w:val="21"/>
          <w:sz w:val="32"/>
          <w:szCs w:val="32"/>
          <w:lang w:eastAsia="zh-CN"/>
        </w:rPr>
        <w:t>万元，政府采购工程预算</w:t>
      </w:r>
      <w:r>
        <w:rPr>
          <w:rFonts w:hint="eastAsia" w:ascii="Times New Roman" w:hAnsi="Times New Roman" w:eastAsia="仿宋_GB2312" w:cs="Times New Roman"/>
          <w:snapToGrid/>
          <w:kern w:val="21"/>
          <w:sz w:val="32"/>
          <w:szCs w:val="32"/>
          <w:lang w:val="en-US" w:eastAsia="zh-CN"/>
        </w:rPr>
        <w:t>0</w:t>
      </w:r>
      <w:r>
        <w:rPr>
          <w:rFonts w:ascii="Times New Roman" w:hAnsi="Times New Roman" w:eastAsia="仿宋_GB2312" w:cs="Times New Roman"/>
          <w:snapToGrid/>
          <w:kern w:val="21"/>
          <w:sz w:val="32"/>
          <w:szCs w:val="32"/>
          <w:lang w:eastAsia="zh-CN"/>
        </w:rPr>
        <w:t>万元，政府采购服务预算</w:t>
      </w:r>
      <w:r>
        <w:rPr>
          <w:rFonts w:hint="eastAsia" w:ascii="Times New Roman" w:hAnsi="Times New Roman" w:eastAsia="仿宋_GB2312" w:cs="Times New Roman"/>
          <w:snapToGrid/>
          <w:kern w:val="21"/>
          <w:sz w:val="32"/>
          <w:szCs w:val="32"/>
          <w:lang w:val="en-US" w:eastAsia="zh-CN"/>
        </w:rPr>
        <w:t>3.5</w:t>
      </w:r>
      <w:r>
        <w:rPr>
          <w:rFonts w:ascii="Times New Roman" w:hAnsi="Times New Roman" w:eastAsia="仿宋_GB2312" w:cs="Times New Roman"/>
          <w:snapToGrid/>
          <w:kern w:val="21"/>
          <w:sz w:val="32"/>
          <w:szCs w:val="32"/>
          <w:lang w:eastAsia="zh-CN"/>
        </w:rPr>
        <w:t>万元。</w:t>
      </w:r>
    </w:p>
    <w:p w14:paraId="553E08B6">
      <w:pPr>
        <w:widowControl w:val="0"/>
        <w:kinsoku/>
        <w:overflowPunct w:val="0"/>
        <w:topLinePunct/>
        <w:autoSpaceDE/>
        <w:autoSpaceDN/>
        <w:spacing w:line="560" w:lineRule="exact"/>
        <w:ind w:firstLine="640" w:firstLineChars="200"/>
        <w:jc w:val="both"/>
        <w:rPr>
          <w:rFonts w:ascii="楷体_GB2312" w:hAnsi="楷体_GB2312" w:eastAsia="楷体_GB2312" w:cs="楷体_GB2312"/>
          <w:snapToGrid/>
          <w:kern w:val="21"/>
          <w:sz w:val="32"/>
          <w:szCs w:val="32"/>
          <w:lang w:eastAsia="zh-CN"/>
        </w:rPr>
      </w:pPr>
      <w:r>
        <w:rPr>
          <w:rFonts w:hint="eastAsia" w:ascii="楷体_GB2312" w:hAnsi="楷体_GB2312" w:eastAsia="楷体_GB2312" w:cs="楷体_GB2312"/>
          <w:snapToGrid/>
          <w:kern w:val="21"/>
          <w:sz w:val="32"/>
          <w:szCs w:val="32"/>
          <w:lang w:eastAsia="zh-CN"/>
        </w:rPr>
        <w:t>（八）国有资产占有使用情况</w:t>
      </w:r>
    </w:p>
    <w:p w14:paraId="607C6015">
      <w:pPr>
        <w:pStyle w:val="2"/>
        <w:widowControl w:val="0"/>
        <w:kinsoku/>
        <w:overflowPunct w:val="0"/>
        <w:topLinePunct/>
        <w:autoSpaceDE/>
        <w:autoSpaceDN/>
        <w:spacing w:line="560" w:lineRule="exact"/>
        <w:ind w:firstLine="640" w:firstLineChars="200"/>
        <w:jc w:val="both"/>
        <w:rPr>
          <w:rFonts w:ascii="Times New Roman" w:hAnsi="Times New Roman" w:eastAsia="仿宋_GB2312" w:cs="Times New Roman"/>
          <w:snapToGrid/>
          <w:kern w:val="21"/>
          <w:sz w:val="32"/>
          <w:szCs w:val="32"/>
          <w:lang w:eastAsia="zh-CN"/>
        </w:rPr>
      </w:pPr>
      <w:r>
        <w:rPr>
          <w:rFonts w:ascii="Times New Roman" w:hAnsi="Times New Roman" w:eastAsia="仿宋_GB2312" w:cs="Times New Roman"/>
          <w:snapToGrid/>
          <w:kern w:val="21"/>
          <w:sz w:val="32"/>
          <w:szCs w:val="32"/>
          <w:lang w:eastAsia="zh-CN"/>
        </w:rPr>
        <w:t>截至202</w:t>
      </w:r>
      <w:r>
        <w:rPr>
          <w:rFonts w:hint="eastAsia" w:ascii="Times New Roman" w:hAnsi="Times New Roman" w:eastAsia="仿宋_GB2312" w:cs="Times New Roman"/>
          <w:snapToGrid/>
          <w:kern w:val="21"/>
          <w:sz w:val="32"/>
          <w:szCs w:val="32"/>
          <w:lang w:val="en-US" w:eastAsia="zh-CN"/>
        </w:rPr>
        <w:t>4</w:t>
      </w:r>
      <w:r>
        <w:rPr>
          <w:rFonts w:ascii="Times New Roman" w:hAnsi="Times New Roman" w:eastAsia="仿宋_GB2312" w:cs="Times New Roman"/>
          <w:snapToGrid/>
          <w:kern w:val="21"/>
          <w:sz w:val="32"/>
          <w:szCs w:val="32"/>
          <w:lang w:eastAsia="zh-CN"/>
        </w:rPr>
        <w:t>年7月31日，单位共有车辆</w:t>
      </w:r>
      <w:r>
        <w:rPr>
          <w:rFonts w:hint="eastAsia" w:ascii="Times New Roman" w:hAnsi="Times New Roman" w:eastAsia="仿宋_GB2312" w:cs="Times New Roman"/>
          <w:snapToGrid/>
          <w:kern w:val="21"/>
          <w:sz w:val="32"/>
          <w:szCs w:val="32"/>
          <w:lang w:val="en-US" w:eastAsia="zh-CN"/>
        </w:rPr>
        <w:t>2</w:t>
      </w:r>
      <w:r>
        <w:rPr>
          <w:rFonts w:ascii="Times New Roman" w:hAnsi="Times New Roman" w:eastAsia="仿宋_GB2312" w:cs="Times New Roman"/>
          <w:snapToGrid/>
          <w:kern w:val="21"/>
          <w:sz w:val="32"/>
          <w:szCs w:val="32"/>
          <w:lang w:eastAsia="zh-CN"/>
        </w:rPr>
        <w:t>辆，其中，一般公务用车实有数</w:t>
      </w:r>
      <w:r>
        <w:rPr>
          <w:rFonts w:hint="eastAsia" w:ascii="Times New Roman" w:hAnsi="Times New Roman" w:eastAsia="仿宋_GB2312" w:cs="Times New Roman"/>
          <w:snapToGrid/>
          <w:kern w:val="21"/>
          <w:sz w:val="32"/>
          <w:szCs w:val="32"/>
          <w:lang w:val="en-US" w:eastAsia="zh-CN"/>
        </w:rPr>
        <w:t>2</w:t>
      </w:r>
      <w:r>
        <w:rPr>
          <w:rFonts w:ascii="Times New Roman" w:hAnsi="Times New Roman" w:eastAsia="仿宋_GB2312" w:cs="Times New Roman"/>
          <w:snapToGrid/>
          <w:kern w:val="21"/>
          <w:sz w:val="32"/>
          <w:szCs w:val="32"/>
          <w:lang w:eastAsia="zh-CN"/>
        </w:rPr>
        <w:t>辆。</w:t>
      </w:r>
    </w:p>
    <w:p w14:paraId="1F941904">
      <w:pPr>
        <w:pStyle w:val="2"/>
        <w:widowControl w:val="0"/>
        <w:kinsoku/>
        <w:overflowPunct w:val="0"/>
        <w:topLinePunct/>
        <w:autoSpaceDE/>
        <w:autoSpaceDN/>
        <w:spacing w:line="560" w:lineRule="exact"/>
        <w:ind w:firstLine="640" w:firstLineChars="200"/>
        <w:jc w:val="both"/>
        <w:rPr>
          <w:rFonts w:hint="default" w:ascii="Times New Roman" w:hAnsi="Times New Roman" w:eastAsia="仿宋_GB2312" w:cs="Times New Roman"/>
          <w:snapToGrid/>
          <w:kern w:val="21"/>
          <w:sz w:val="32"/>
          <w:szCs w:val="32"/>
          <w:lang w:val="en-US" w:eastAsia="zh-CN"/>
        </w:rPr>
      </w:pPr>
      <w:r>
        <w:rPr>
          <w:rFonts w:ascii="Times New Roman" w:hAnsi="Times New Roman" w:eastAsia="仿宋_GB2312" w:cs="Times New Roman"/>
          <w:snapToGrid/>
          <w:kern w:val="21"/>
          <w:sz w:val="32"/>
          <w:szCs w:val="32"/>
          <w:lang w:eastAsia="zh-CN"/>
        </w:rPr>
        <w:t>202</w:t>
      </w:r>
      <w:r>
        <w:rPr>
          <w:rFonts w:hint="eastAsia" w:ascii="Times New Roman" w:hAnsi="Times New Roman" w:eastAsia="仿宋_GB2312" w:cs="Times New Roman"/>
          <w:snapToGrid/>
          <w:kern w:val="21"/>
          <w:sz w:val="32"/>
          <w:szCs w:val="32"/>
          <w:lang w:val="en-US" w:eastAsia="zh-CN"/>
        </w:rPr>
        <w:t>5</w:t>
      </w:r>
      <w:r>
        <w:rPr>
          <w:rFonts w:ascii="Times New Roman" w:hAnsi="Times New Roman" w:eastAsia="仿宋_GB2312" w:cs="Times New Roman"/>
          <w:snapToGrid/>
          <w:kern w:val="21"/>
          <w:sz w:val="32"/>
          <w:szCs w:val="32"/>
          <w:lang w:eastAsia="zh-CN"/>
        </w:rPr>
        <w:t>年单位预算安排购置车辆</w:t>
      </w:r>
      <w:r>
        <w:rPr>
          <w:rFonts w:hint="eastAsia" w:ascii="Times New Roman" w:hAnsi="Times New Roman" w:eastAsia="仿宋_GB2312" w:cs="Times New Roman"/>
          <w:snapToGrid/>
          <w:kern w:val="21"/>
          <w:sz w:val="32"/>
          <w:szCs w:val="32"/>
          <w:lang w:val="en-US" w:eastAsia="zh-CN"/>
        </w:rPr>
        <w:t>0</w:t>
      </w:r>
      <w:r>
        <w:rPr>
          <w:rFonts w:ascii="Times New Roman" w:hAnsi="Times New Roman" w:eastAsia="仿宋_GB2312" w:cs="Times New Roman"/>
          <w:snapToGrid/>
          <w:kern w:val="21"/>
          <w:sz w:val="32"/>
          <w:szCs w:val="32"/>
          <w:lang w:eastAsia="zh-CN"/>
        </w:rPr>
        <w:t>辆，安排购置单位价值200万元以上大型设备具体为：</w:t>
      </w:r>
      <w:r>
        <w:rPr>
          <w:rFonts w:hint="eastAsia" w:ascii="Times New Roman" w:hAnsi="Times New Roman" w:eastAsia="仿宋_GB2312" w:cs="Times New Roman"/>
          <w:snapToGrid/>
          <w:kern w:val="21"/>
          <w:sz w:val="32"/>
          <w:szCs w:val="32"/>
          <w:lang w:val="en-US" w:eastAsia="zh-CN"/>
        </w:rPr>
        <w:t>无。</w:t>
      </w:r>
    </w:p>
    <w:p w14:paraId="07FB3C1F">
      <w:pPr>
        <w:widowControl w:val="0"/>
        <w:kinsoku/>
        <w:overflowPunct w:val="0"/>
        <w:topLinePunct/>
        <w:autoSpaceDE/>
        <w:autoSpaceDN/>
        <w:spacing w:line="560" w:lineRule="exact"/>
        <w:ind w:firstLine="640" w:firstLineChars="200"/>
        <w:jc w:val="both"/>
        <w:rPr>
          <w:rFonts w:ascii="楷体_GB2312" w:hAnsi="楷体_GB2312" w:eastAsia="楷体_GB2312" w:cs="楷体_GB2312"/>
          <w:snapToGrid/>
          <w:kern w:val="21"/>
          <w:sz w:val="32"/>
          <w:szCs w:val="32"/>
          <w:lang w:eastAsia="zh-CN"/>
        </w:rPr>
      </w:pPr>
      <w:r>
        <w:rPr>
          <w:rFonts w:hint="eastAsia" w:ascii="楷体_GB2312" w:hAnsi="楷体_GB2312" w:eastAsia="楷体_GB2312" w:cs="楷体_GB2312"/>
          <w:snapToGrid/>
          <w:kern w:val="21"/>
          <w:sz w:val="32"/>
          <w:szCs w:val="32"/>
          <w:lang w:eastAsia="zh-CN"/>
        </w:rPr>
        <w:t>（九）202</w:t>
      </w:r>
      <w:r>
        <w:rPr>
          <w:rFonts w:hint="eastAsia" w:ascii="楷体_GB2312" w:hAnsi="楷体_GB2312" w:eastAsia="楷体_GB2312" w:cs="楷体_GB2312"/>
          <w:snapToGrid/>
          <w:kern w:val="21"/>
          <w:sz w:val="32"/>
          <w:szCs w:val="32"/>
          <w:lang w:val="en-US" w:eastAsia="zh-CN"/>
        </w:rPr>
        <w:t>5</w:t>
      </w:r>
      <w:r>
        <w:rPr>
          <w:rFonts w:hint="eastAsia" w:ascii="楷体_GB2312" w:hAnsi="楷体_GB2312" w:eastAsia="楷体_GB2312" w:cs="楷体_GB2312"/>
          <w:snapToGrid/>
          <w:kern w:val="21"/>
          <w:sz w:val="32"/>
          <w:szCs w:val="32"/>
          <w:lang w:eastAsia="zh-CN"/>
        </w:rPr>
        <w:t>年非物质文化遗产保护与宣传专项经费项目情况说明</w:t>
      </w:r>
    </w:p>
    <w:p w14:paraId="403AE654">
      <w:pPr>
        <w:pStyle w:val="2"/>
        <w:widowControl w:val="0"/>
        <w:kinsoku/>
        <w:overflowPunct w:val="0"/>
        <w:topLinePunct/>
        <w:autoSpaceDE/>
        <w:autoSpaceDN/>
        <w:spacing w:line="560" w:lineRule="exact"/>
        <w:ind w:firstLine="640" w:firstLineChars="200"/>
        <w:jc w:val="both"/>
        <w:rPr>
          <w:rFonts w:ascii="Times New Roman" w:hAnsi="Times New Roman" w:eastAsia="仿宋_GB2312" w:cs="Times New Roman"/>
          <w:snapToGrid/>
          <w:kern w:val="21"/>
          <w:sz w:val="32"/>
          <w:szCs w:val="32"/>
          <w:lang w:eastAsia="zh-CN"/>
        </w:rPr>
      </w:pPr>
      <w:r>
        <w:rPr>
          <w:rFonts w:ascii="Times New Roman" w:hAnsi="Times New Roman" w:eastAsia="仿宋_GB2312" w:cs="Times New Roman"/>
          <w:snapToGrid/>
          <w:kern w:val="21"/>
          <w:sz w:val="32"/>
          <w:szCs w:val="32"/>
          <w:lang w:eastAsia="zh-CN"/>
        </w:rPr>
        <w:t>1）项目概述</w:t>
      </w:r>
      <w:r>
        <w:rPr>
          <w:rFonts w:hint="eastAsia" w:ascii="Times New Roman" w:hAnsi="Times New Roman" w:eastAsia="仿宋_GB2312" w:cs="Times New Roman"/>
          <w:snapToGrid/>
          <w:kern w:val="21"/>
          <w:sz w:val="32"/>
          <w:szCs w:val="32"/>
          <w:lang w:eastAsia="zh-CN"/>
        </w:rPr>
        <w:t>：</w:t>
      </w:r>
      <w:r>
        <w:rPr>
          <w:rFonts w:hint="eastAsia" w:ascii="仿宋" w:hAnsi="仿宋" w:eastAsia="仿宋" w:cs="仿宋"/>
          <w:snapToGrid w:val="0"/>
          <w:color w:val="000000"/>
          <w:spacing w:val="4"/>
          <w:kern w:val="0"/>
          <w:sz w:val="31"/>
          <w:szCs w:val="31"/>
          <w:lang w:val="en-US" w:eastAsia="en-US" w:bidi="ar-SA"/>
        </w:rPr>
        <w:t>用于202</w:t>
      </w:r>
      <w:r>
        <w:rPr>
          <w:rFonts w:hint="eastAsia" w:cs="仿宋"/>
          <w:snapToGrid w:val="0"/>
          <w:color w:val="000000"/>
          <w:spacing w:val="4"/>
          <w:kern w:val="0"/>
          <w:sz w:val="31"/>
          <w:szCs w:val="31"/>
          <w:lang w:val="en-US" w:eastAsia="zh-CN" w:bidi="ar-SA"/>
        </w:rPr>
        <w:t>5</w:t>
      </w:r>
      <w:r>
        <w:rPr>
          <w:rFonts w:hint="eastAsia" w:ascii="仿宋" w:hAnsi="仿宋" w:eastAsia="仿宋" w:cs="仿宋"/>
          <w:snapToGrid w:val="0"/>
          <w:color w:val="000000"/>
          <w:spacing w:val="4"/>
          <w:kern w:val="0"/>
          <w:sz w:val="31"/>
          <w:szCs w:val="31"/>
          <w:lang w:val="en-US" w:eastAsia="en-US" w:bidi="ar-SA"/>
        </w:rPr>
        <w:t>年新建区非物质文化遗产项目保护、研究及宣传工作</w:t>
      </w:r>
      <w:r>
        <w:rPr>
          <w:rFonts w:hint="eastAsia" w:ascii="仿宋" w:hAnsi="仿宋" w:eastAsia="仿宋" w:cs="仿宋"/>
          <w:snapToGrid w:val="0"/>
          <w:color w:val="000000"/>
          <w:spacing w:val="4"/>
          <w:kern w:val="0"/>
          <w:sz w:val="31"/>
          <w:szCs w:val="31"/>
          <w:lang w:val="en-US" w:eastAsia="zh-CN" w:bidi="ar-SA"/>
        </w:rPr>
        <w:t>。</w:t>
      </w:r>
    </w:p>
    <w:p w14:paraId="1F108EDD">
      <w:pPr>
        <w:pStyle w:val="14"/>
        <w:widowControl w:val="0"/>
        <w:kinsoku/>
        <w:topLinePunct/>
        <w:autoSpaceDE/>
        <w:autoSpaceDN/>
        <w:spacing w:line="560" w:lineRule="exact"/>
        <w:ind w:firstLine="640" w:firstLineChars="200"/>
        <w:jc w:val="both"/>
      </w:pPr>
      <w:r>
        <w:rPr>
          <w:rFonts w:ascii="Times New Roman" w:hAnsi="Times New Roman" w:eastAsia="仿宋_GB2312" w:cs="Times New Roman"/>
          <w:snapToGrid/>
          <w:kern w:val="21"/>
          <w:sz w:val="32"/>
          <w:szCs w:val="32"/>
          <w:lang w:eastAsia="zh-CN"/>
        </w:rPr>
        <w:t>2）立项依据</w:t>
      </w:r>
      <w:r>
        <w:rPr>
          <w:rFonts w:hint="eastAsia" w:ascii="Times New Roman" w:hAnsi="Times New Roman" w:eastAsia="仿宋_GB2312" w:cs="Times New Roman"/>
          <w:snapToGrid/>
          <w:kern w:val="21"/>
          <w:sz w:val="32"/>
          <w:szCs w:val="32"/>
          <w:lang w:eastAsia="zh-CN"/>
        </w:rPr>
        <w:t>：</w:t>
      </w:r>
      <w:r>
        <w:rPr>
          <w:rFonts w:hint="eastAsia" w:ascii="仿宋" w:hAnsi="仿宋" w:eastAsia="仿宋" w:cs="仿宋"/>
          <w:snapToGrid w:val="0"/>
          <w:color w:val="000000"/>
          <w:spacing w:val="4"/>
          <w:kern w:val="0"/>
          <w:sz w:val="31"/>
          <w:szCs w:val="31"/>
          <w:lang w:val="en-US" w:eastAsia="zh-CN" w:bidi="ar-SA"/>
        </w:rPr>
        <w:t>根据《中华人民共和国非物质文化遗产法》，《江西省非物质文化遗产条例》文件精神，推进我区非物质文化遗产保护工作。</w:t>
      </w:r>
    </w:p>
    <w:p w14:paraId="03A4ADF4">
      <w:pPr>
        <w:pStyle w:val="2"/>
        <w:spacing w:before="250" w:line="222" w:lineRule="auto"/>
        <w:ind w:firstLine="640" w:firstLineChars="200"/>
        <w:rPr>
          <w:rFonts w:hint="eastAsia" w:eastAsia="仿宋"/>
          <w:lang w:eastAsia="zh-CN"/>
        </w:rPr>
      </w:pPr>
      <w:r>
        <w:rPr>
          <w:rFonts w:ascii="Times New Roman" w:hAnsi="Times New Roman" w:eastAsia="仿宋_GB2312" w:cs="Times New Roman"/>
          <w:snapToGrid/>
          <w:kern w:val="21"/>
          <w:sz w:val="32"/>
          <w:szCs w:val="32"/>
          <w:lang w:eastAsia="zh-CN"/>
        </w:rPr>
        <w:t>3）实施主体：</w:t>
      </w:r>
      <w:r>
        <w:rPr>
          <w:rFonts w:hint="eastAsia"/>
          <w:spacing w:val="2"/>
          <w:lang w:eastAsia="zh-CN"/>
        </w:rPr>
        <w:t>南昌市新建区文化事业发展中心</w:t>
      </w:r>
    </w:p>
    <w:p w14:paraId="392FCDA0">
      <w:pPr>
        <w:pStyle w:val="2"/>
        <w:widowControl w:val="0"/>
        <w:kinsoku/>
        <w:overflowPunct w:val="0"/>
        <w:topLinePunct/>
        <w:autoSpaceDE/>
        <w:autoSpaceDN/>
        <w:spacing w:line="560" w:lineRule="exact"/>
        <w:ind w:firstLine="640" w:firstLineChars="200"/>
        <w:jc w:val="both"/>
        <w:rPr>
          <w:rFonts w:ascii="Times New Roman" w:hAnsi="Times New Roman" w:eastAsia="仿宋_GB2312" w:cs="Times New Roman"/>
          <w:snapToGrid/>
          <w:kern w:val="21"/>
          <w:sz w:val="32"/>
          <w:szCs w:val="32"/>
          <w:lang w:eastAsia="zh-CN"/>
        </w:rPr>
      </w:pPr>
      <w:r>
        <w:rPr>
          <w:rFonts w:ascii="Times New Roman" w:hAnsi="Times New Roman" w:eastAsia="仿宋_GB2312" w:cs="Times New Roman"/>
          <w:snapToGrid/>
          <w:kern w:val="21"/>
          <w:sz w:val="32"/>
          <w:szCs w:val="32"/>
          <w:lang w:eastAsia="zh-CN"/>
        </w:rPr>
        <w:t>4）实施方案：</w:t>
      </w:r>
      <w:r>
        <w:rPr>
          <w:rFonts w:hint="eastAsia" w:ascii="仿宋" w:hAnsi="仿宋" w:eastAsia="仿宋" w:cs="仿宋"/>
          <w:snapToGrid w:val="0"/>
          <w:color w:val="000000"/>
          <w:spacing w:val="4"/>
          <w:kern w:val="0"/>
          <w:sz w:val="31"/>
          <w:szCs w:val="31"/>
          <w:lang w:val="en-US" w:eastAsia="zh-CN" w:bidi="ar-SA"/>
        </w:rPr>
        <w:t>开展形式多样、内容丰富的非物质文化遗产展示宣传活动及非遗培训，弘扬新建传统文化，推进我区非物质文化遗产保护工作。</w:t>
      </w:r>
    </w:p>
    <w:p w14:paraId="73640A9E">
      <w:pPr>
        <w:pStyle w:val="2"/>
        <w:widowControl w:val="0"/>
        <w:kinsoku/>
        <w:overflowPunct w:val="0"/>
        <w:topLinePunct/>
        <w:autoSpaceDE/>
        <w:autoSpaceDN/>
        <w:spacing w:line="560" w:lineRule="exact"/>
        <w:ind w:firstLine="640" w:firstLineChars="200"/>
        <w:jc w:val="both"/>
        <w:rPr>
          <w:rFonts w:hint="eastAsia" w:ascii="仿宋" w:hAnsi="仿宋" w:eastAsia="仿宋" w:cs="仿宋"/>
          <w:snapToGrid w:val="0"/>
          <w:color w:val="000000"/>
          <w:spacing w:val="4"/>
          <w:kern w:val="0"/>
          <w:sz w:val="31"/>
          <w:szCs w:val="31"/>
          <w:lang w:val="en-US" w:eastAsia="zh-CN" w:bidi="ar-SA"/>
        </w:rPr>
      </w:pPr>
      <w:r>
        <w:rPr>
          <w:rFonts w:ascii="Times New Roman" w:hAnsi="Times New Roman" w:eastAsia="仿宋_GB2312" w:cs="Times New Roman"/>
          <w:snapToGrid/>
          <w:kern w:val="21"/>
          <w:sz w:val="32"/>
          <w:szCs w:val="32"/>
          <w:lang w:eastAsia="zh-CN"/>
        </w:rPr>
        <w:t>5）实施周期：</w:t>
      </w:r>
      <w:r>
        <w:rPr>
          <w:rFonts w:hint="eastAsia" w:ascii="仿宋" w:hAnsi="仿宋" w:eastAsia="仿宋" w:cs="仿宋"/>
          <w:snapToGrid w:val="0"/>
          <w:color w:val="000000"/>
          <w:spacing w:val="4"/>
          <w:kern w:val="0"/>
          <w:sz w:val="31"/>
          <w:szCs w:val="31"/>
          <w:lang w:val="en-US" w:eastAsia="zh-CN" w:bidi="ar-SA"/>
        </w:rPr>
        <w:t>2025年1月1日-2025年12月31日</w:t>
      </w:r>
    </w:p>
    <w:p w14:paraId="3E4022A0">
      <w:pPr>
        <w:pStyle w:val="2"/>
        <w:widowControl w:val="0"/>
        <w:kinsoku/>
        <w:overflowPunct w:val="0"/>
        <w:topLinePunct/>
        <w:autoSpaceDE/>
        <w:autoSpaceDN/>
        <w:spacing w:line="560" w:lineRule="exact"/>
        <w:ind w:firstLine="640" w:firstLineChars="200"/>
        <w:jc w:val="both"/>
        <w:rPr>
          <w:rFonts w:hint="default" w:ascii="Times New Roman" w:hAnsi="Times New Roman" w:eastAsia="仿宋_GB2312" w:cs="Times New Roman"/>
          <w:snapToGrid/>
          <w:kern w:val="21"/>
          <w:sz w:val="32"/>
          <w:szCs w:val="32"/>
          <w:lang w:val="en-US" w:eastAsia="zh-CN"/>
        </w:rPr>
      </w:pPr>
      <w:r>
        <w:rPr>
          <w:rFonts w:ascii="Times New Roman" w:hAnsi="Times New Roman" w:eastAsia="仿宋_GB2312" w:cs="Times New Roman"/>
          <w:snapToGrid/>
          <w:kern w:val="21"/>
          <w:sz w:val="32"/>
          <w:szCs w:val="32"/>
          <w:lang w:eastAsia="zh-CN"/>
        </w:rPr>
        <w:t>6）年度预算安排：</w:t>
      </w:r>
      <w:r>
        <w:rPr>
          <w:rFonts w:hint="eastAsia" w:ascii="Times New Roman" w:hAnsi="Times New Roman" w:eastAsia="仿宋_GB2312" w:cs="Times New Roman"/>
          <w:snapToGrid/>
          <w:kern w:val="21"/>
          <w:sz w:val="32"/>
          <w:szCs w:val="32"/>
          <w:lang w:val="en-US" w:eastAsia="zh-CN"/>
        </w:rPr>
        <w:t>20万</w:t>
      </w:r>
    </w:p>
    <w:p w14:paraId="5D69508D">
      <w:pPr>
        <w:widowControl w:val="0"/>
        <w:kinsoku/>
        <w:overflowPunct w:val="0"/>
        <w:topLinePunct/>
        <w:autoSpaceDE/>
        <w:autoSpaceDN/>
        <w:spacing w:line="560" w:lineRule="exact"/>
        <w:ind w:firstLine="640" w:firstLineChars="200"/>
        <w:jc w:val="both"/>
        <w:outlineLvl w:val="1"/>
        <w:rPr>
          <w:rFonts w:ascii="黑体" w:hAnsi="黑体" w:eastAsia="黑体" w:cs="黑体"/>
          <w:snapToGrid/>
          <w:kern w:val="21"/>
          <w:sz w:val="32"/>
          <w:szCs w:val="32"/>
          <w:lang w:eastAsia="zh-CN"/>
        </w:rPr>
      </w:pPr>
      <w:r>
        <w:rPr>
          <w:rFonts w:hint="eastAsia" w:ascii="黑体" w:hAnsi="黑体" w:eastAsia="黑体" w:cs="黑体"/>
          <w:snapToGrid/>
          <w:kern w:val="21"/>
          <w:sz w:val="32"/>
          <w:szCs w:val="32"/>
          <w:lang w:eastAsia="zh-CN"/>
        </w:rPr>
        <w:t>二、202</w:t>
      </w:r>
      <w:r>
        <w:rPr>
          <w:rFonts w:hint="eastAsia" w:ascii="黑体" w:hAnsi="黑体" w:eastAsia="黑体" w:cs="黑体"/>
          <w:snapToGrid/>
          <w:kern w:val="21"/>
          <w:sz w:val="32"/>
          <w:szCs w:val="32"/>
          <w:lang w:val="en-US" w:eastAsia="zh-CN"/>
        </w:rPr>
        <w:t>5</w:t>
      </w:r>
      <w:r>
        <w:rPr>
          <w:rFonts w:hint="eastAsia" w:ascii="黑体" w:hAnsi="黑体" w:eastAsia="黑体" w:cs="黑体"/>
          <w:snapToGrid/>
          <w:kern w:val="21"/>
          <w:sz w:val="32"/>
          <w:szCs w:val="32"/>
          <w:lang w:eastAsia="zh-CN"/>
        </w:rPr>
        <w:t>年“三公”经费预算情况说明</w:t>
      </w:r>
      <w:bookmarkStart w:id="0" w:name="_GoBack"/>
      <w:bookmarkEnd w:id="0"/>
    </w:p>
    <w:p w14:paraId="2A366A9F">
      <w:pPr>
        <w:pStyle w:val="2"/>
        <w:widowControl w:val="0"/>
        <w:kinsoku/>
        <w:overflowPunct w:val="0"/>
        <w:topLinePunct/>
        <w:autoSpaceDE/>
        <w:autoSpaceDN/>
        <w:spacing w:line="560" w:lineRule="exact"/>
        <w:ind w:firstLine="640" w:firstLineChars="200"/>
        <w:jc w:val="both"/>
        <w:rPr>
          <w:rFonts w:ascii="Times New Roman" w:hAnsi="Times New Roman" w:eastAsia="仿宋_GB2312" w:cs="Times New Roman"/>
          <w:snapToGrid/>
          <w:kern w:val="21"/>
          <w:sz w:val="32"/>
          <w:szCs w:val="32"/>
          <w:lang w:eastAsia="zh-CN"/>
        </w:rPr>
      </w:pPr>
      <w:r>
        <w:rPr>
          <w:rFonts w:ascii="Times New Roman" w:hAnsi="Times New Roman" w:eastAsia="仿宋_GB2312" w:cs="Times New Roman"/>
          <w:snapToGrid/>
          <w:kern w:val="21"/>
          <w:sz w:val="32"/>
          <w:szCs w:val="32"/>
          <w:lang w:eastAsia="zh-CN"/>
        </w:rPr>
        <w:t>202</w:t>
      </w:r>
      <w:r>
        <w:rPr>
          <w:rFonts w:hint="eastAsia" w:ascii="Times New Roman" w:hAnsi="Times New Roman" w:eastAsia="仿宋_GB2312" w:cs="Times New Roman"/>
          <w:snapToGrid/>
          <w:kern w:val="21"/>
          <w:sz w:val="32"/>
          <w:szCs w:val="32"/>
          <w:lang w:val="en-US" w:eastAsia="zh-CN"/>
        </w:rPr>
        <w:t>5</w:t>
      </w:r>
      <w:r>
        <w:rPr>
          <w:rFonts w:ascii="Times New Roman" w:hAnsi="Times New Roman" w:eastAsia="仿宋_GB2312" w:cs="Times New Roman"/>
          <w:snapToGrid/>
          <w:kern w:val="21"/>
          <w:sz w:val="32"/>
          <w:szCs w:val="32"/>
          <w:lang w:eastAsia="zh-CN"/>
        </w:rPr>
        <w:t>年</w:t>
      </w:r>
      <w:r>
        <w:rPr>
          <w:rFonts w:hint="eastAsia" w:ascii="Times New Roman" w:hAnsi="Times New Roman" w:eastAsia="仿宋_GB2312" w:cs="Times New Roman"/>
          <w:snapToGrid/>
          <w:kern w:val="21"/>
          <w:sz w:val="32"/>
          <w:szCs w:val="32"/>
          <w:lang w:eastAsia="zh-CN"/>
        </w:rPr>
        <w:t>南昌市新建区文化事业发展中心</w:t>
      </w:r>
      <w:r>
        <w:rPr>
          <w:rFonts w:ascii="Times New Roman" w:hAnsi="Times New Roman" w:eastAsia="仿宋_GB2312" w:cs="Times New Roman"/>
          <w:snapToGrid/>
          <w:kern w:val="21"/>
          <w:sz w:val="32"/>
          <w:szCs w:val="32"/>
          <w:lang w:eastAsia="zh-CN"/>
        </w:rPr>
        <w:t>单位“三公”经费财政拨款安排</w:t>
      </w:r>
      <w:r>
        <w:rPr>
          <w:rFonts w:hint="eastAsia" w:ascii="Times New Roman" w:hAnsi="Times New Roman" w:eastAsia="仿宋_GB2312" w:cs="Times New Roman"/>
          <w:snapToGrid/>
          <w:kern w:val="21"/>
          <w:sz w:val="32"/>
          <w:szCs w:val="32"/>
          <w:lang w:val="en-US" w:eastAsia="zh-CN"/>
        </w:rPr>
        <w:t>7.29</w:t>
      </w:r>
      <w:r>
        <w:rPr>
          <w:rFonts w:ascii="Times New Roman" w:hAnsi="Times New Roman" w:eastAsia="仿宋_GB2312" w:cs="Times New Roman"/>
          <w:snapToGrid/>
          <w:kern w:val="21"/>
          <w:sz w:val="32"/>
          <w:szCs w:val="32"/>
          <w:lang w:eastAsia="zh-CN"/>
        </w:rPr>
        <w:t>万元。</w:t>
      </w:r>
    </w:p>
    <w:p w14:paraId="5BD17E14">
      <w:pPr>
        <w:pStyle w:val="2"/>
        <w:widowControl w:val="0"/>
        <w:kinsoku/>
        <w:overflowPunct w:val="0"/>
        <w:topLinePunct/>
        <w:autoSpaceDE/>
        <w:autoSpaceDN/>
        <w:spacing w:line="560" w:lineRule="exact"/>
        <w:ind w:firstLine="640" w:firstLineChars="200"/>
        <w:jc w:val="both"/>
        <w:rPr>
          <w:rFonts w:ascii="Times New Roman" w:hAnsi="Times New Roman" w:eastAsia="仿宋_GB2312" w:cs="Times New Roman"/>
          <w:snapToGrid/>
          <w:kern w:val="21"/>
          <w:sz w:val="32"/>
          <w:szCs w:val="32"/>
          <w:lang w:eastAsia="zh-CN"/>
        </w:rPr>
      </w:pPr>
      <w:r>
        <w:rPr>
          <w:rFonts w:ascii="Times New Roman" w:hAnsi="Times New Roman" w:eastAsia="仿宋_GB2312" w:cs="Times New Roman"/>
          <w:snapToGrid/>
          <w:kern w:val="21"/>
          <w:sz w:val="32"/>
          <w:szCs w:val="32"/>
          <w:lang w:eastAsia="zh-CN"/>
        </w:rPr>
        <w:t>其中：</w:t>
      </w:r>
    </w:p>
    <w:p w14:paraId="61941781">
      <w:pPr>
        <w:pStyle w:val="2"/>
        <w:widowControl w:val="0"/>
        <w:kinsoku/>
        <w:overflowPunct w:val="0"/>
        <w:topLinePunct/>
        <w:autoSpaceDE/>
        <w:autoSpaceDN/>
        <w:spacing w:line="560" w:lineRule="exact"/>
        <w:ind w:firstLine="640" w:firstLineChars="200"/>
        <w:jc w:val="both"/>
        <w:rPr>
          <w:rFonts w:ascii="Times New Roman" w:hAnsi="Times New Roman" w:eastAsia="仿宋_GB2312" w:cs="Times New Roman"/>
          <w:snapToGrid/>
          <w:kern w:val="21"/>
          <w:sz w:val="32"/>
          <w:szCs w:val="32"/>
          <w:lang w:eastAsia="zh-CN"/>
        </w:rPr>
      </w:pPr>
      <w:r>
        <w:rPr>
          <w:rFonts w:ascii="Times New Roman" w:hAnsi="Times New Roman" w:eastAsia="仿宋_GB2312" w:cs="Times New Roman"/>
          <w:snapToGrid/>
          <w:kern w:val="21"/>
          <w:sz w:val="32"/>
          <w:szCs w:val="32"/>
          <w:lang w:eastAsia="zh-CN"/>
        </w:rPr>
        <w:t>1.因公出国（境）经费</w:t>
      </w:r>
      <w:r>
        <w:rPr>
          <w:rFonts w:hint="eastAsia" w:ascii="Times New Roman" w:hAnsi="Times New Roman" w:eastAsia="仿宋_GB2312" w:cs="Times New Roman"/>
          <w:snapToGrid/>
          <w:kern w:val="21"/>
          <w:sz w:val="32"/>
          <w:szCs w:val="32"/>
          <w:lang w:val="en-US" w:eastAsia="zh-CN"/>
        </w:rPr>
        <w:t>0</w:t>
      </w:r>
      <w:r>
        <w:rPr>
          <w:rFonts w:ascii="Times New Roman" w:hAnsi="Times New Roman" w:eastAsia="仿宋_GB2312" w:cs="Times New Roman"/>
          <w:snapToGrid/>
          <w:kern w:val="21"/>
          <w:sz w:val="32"/>
          <w:szCs w:val="32"/>
          <w:lang w:eastAsia="zh-CN"/>
        </w:rPr>
        <w:t>万元，比上年增加</w:t>
      </w:r>
      <w:r>
        <w:rPr>
          <w:rFonts w:hint="eastAsia" w:ascii="Times New Roman" w:hAnsi="Times New Roman" w:eastAsia="仿宋_GB2312" w:cs="Times New Roman"/>
          <w:snapToGrid/>
          <w:kern w:val="21"/>
          <w:sz w:val="32"/>
          <w:szCs w:val="32"/>
          <w:lang w:val="en-US" w:eastAsia="zh-CN"/>
        </w:rPr>
        <w:t>0</w:t>
      </w:r>
      <w:r>
        <w:rPr>
          <w:rFonts w:ascii="Times New Roman" w:hAnsi="Times New Roman" w:eastAsia="仿宋_GB2312" w:cs="Times New Roman"/>
          <w:snapToGrid/>
          <w:kern w:val="21"/>
          <w:sz w:val="32"/>
          <w:szCs w:val="32"/>
          <w:lang w:eastAsia="zh-CN"/>
        </w:rPr>
        <w:t>万元。主要原因是与上年保持一致。</w:t>
      </w:r>
    </w:p>
    <w:p w14:paraId="7094C671">
      <w:pPr>
        <w:pStyle w:val="2"/>
        <w:widowControl w:val="0"/>
        <w:kinsoku/>
        <w:overflowPunct w:val="0"/>
        <w:topLinePunct/>
        <w:autoSpaceDE/>
        <w:autoSpaceDN/>
        <w:spacing w:line="560" w:lineRule="exact"/>
        <w:ind w:firstLine="640" w:firstLineChars="200"/>
        <w:jc w:val="both"/>
        <w:rPr>
          <w:rFonts w:ascii="Times New Roman" w:hAnsi="Times New Roman" w:eastAsia="仿宋_GB2312" w:cs="Times New Roman"/>
          <w:snapToGrid/>
          <w:kern w:val="21"/>
          <w:sz w:val="32"/>
          <w:szCs w:val="32"/>
          <w:lang w:eastAsia="zh-CN"/>
        </w:rPr>
      </w:pPr>
      <w:r>
        <w:rPr>
          <w:rFonts w:ascii="Times New Roman" w:hAnsi="Times New Roman" w:eastAsia="仿宋_GB2312" w:cs="Times New Roman"/>
          <w:snapToGrid/>
          <w:kern w:val="21"/>
          <w:sz w:val="32"/>
          <w:szCs w:val="32"/>
          <w:lang w:eastAsia="zh-CN"/>
        </w:rPr>
        <w:t>2.公务接待费</w:t>
      </w:r>
      <w:r>
        <w:rPr>
          <w:rFonts w:hint="eastAsia" w:ascii="Times New Roman" w:hAnsi="Times New Roman" w:eastAsia="仿宋_GB2312" w:cs="Times New Roman"/>
          <w:snapToGrid/>
          <w:kern w:val="21"/>
          <w:sz w:val="32"/>
          <w:szCs w:val="32"/>
          <w:lang w:val="en-US" w:eastAsia="zh-CN"/>
        </w:rPr>
        <w:t>1</w:t>
      </w:r>
      <w:r>
        <w:rPr>
          <w:rFonts w:ascii="Times New Roman" w:hAnsi="Times New Roman" w:eastAsia="仿宋_GB2312" w:cs="Times New Roman"/>
          <w:snapToGrid/>
          <w:kern w:val="21"/>
          <w:sz w:val="32"/>
          <w:szCs w:val="32"/>
          <w:lang w:eastAsia="zh-CN"/>
        </w:rPr>
        <w:t>万元，比上年减少</w:t>
      </w:r>
      <w:r>
        <w:rPr>
          <w:rFonts w:hint="eastAsia" w:ascii="Times New Roman" w:hAnsi="Times New Roman" w:eastAsia="仿宋_GB2312" w:cs="Times New Roman"/>
          <w:snapToGrid/>
          <w:kern w:val="21"/>
          <w:sz w:val="32"/>
          <w:szCs w:val="32"/>
          <w:lang w:val="en-US" w:eastAsia="zh-CN"/>
        </w:rPr>
        <w:t>0.1</w:t>
      </w:r>
      <w:r>
        <w:rPr>
          <w:rFonts w:ascii="Times New Roman" w:hAnsi="Times New Roman" w:eastAsia="仿宋_GB2312" w:cs="Times New Roman"/>
          <w:snapToGrid/>
          <w:kern w:val="21"/>
          <w:sz w:val="32"/>
          <w:szCs w:val="32"/>
          <w:lang w:eastAsia="zh-CN"/>
        </w:rPr>
        <w:t>万元。主要原因是</w:t>
      </w:r>
      <w:r>
        <w:rPr>
          <w:rFonts w:hint="eastAsia" w:ascii="Times New Roman" w:hAnsi="Times New Roman" w:eastAsia="仿宋_GB2312" w:cs="Times New Roman"/>
          <w:snapToGrid/>
          <w:kern w:val="21"/>
          <w:sz w:val="32"/>
          <w:szCs w:val="32"/>
          <w:lang w:eastAsia="zh-CN"/>
        </w:rPr>
        <w:t>落实过紧日子，压缩一般性支出</w:t>
      </w:r>
      <w:r>
        <w:rPr>
          <w:rFonts w:ascii="Times New Roman" w:hAnsi="Times New Roman" w:eastAsia="仿宋_GB2312" w:cs="Times New Roman"/>
          <w:snapToGrid/>
          <w:kern w:val="21"/>
          <w:sz w:val="32"/>
          <w:szCs w:val="32"/>
          <w:lang w:eastAsia="zh-CN"/>
        </w:rPr>
        <w:t>。</w:t>
      </w:r>
    </w:p>
    <w:p w14:paraId="2087EDCB">
      <w:pPr>
        <w:pStyle w:val="2"/>
        <w:widowControl w:val="0"/>
        <w:kinsoku/>
        <w:overflowPunct w:val="0"/>
        <w:topLinePunct/>
        <w:autoSpaceDE/>
        <w:autoSpaceDN/>
        <w:spacing w:line="560" w:lineRule="exact"/>
        <w:ind w:firstLine="640" w:firstLineChars="200"/>
        <w:jc w:val="both"/>
        <w:rPr>
          <w:rFonts w:ascii="Times New Roman" w:hAnsi="Times New Roman" w:eastAsia="仿宋_GB2312" w:cs="Times New Roman"/>
          <w:snapToGrid/>
          <w:kern w:val="21"/>
          <w:sz w:val="32"/>
          <w:szCs w:val="32"/>
          <w:lang w:eastAsia="zh-CN"/>
        </w:rPr>
      </w:pPr>
      <w:r>
        <w:rPr>
          <w:rFonts w:ascii="Times New Roman" w:hAnsi="Times New Roman" w:eastAsia="仿宋_GB2312" w:cs="Times New Roman"/>
          <w:snapToGrid/>
          <w:kern w:val="21"/>
          <w:sz w:val="32"/>
          <w:szCs w:val="32"/>
          <w:lang w:eastAsia="zh-CN"/>
        </w:rPr>
        <w:t>3.公务用车运行维护费</w:t>
      </w:r>
      <w:r>
        <w:rPr>
          <w:rFonts w:hint="eastAsia" w:ascii="Times New Roman" w:hAnsi="Times New Roman" w:eastAsia="仿宋_GB2312" w:cs="Times New Roman"/>
          <w:snapToGrid/>
          <w:kern w:val="21"/>
          <w:sz w:val="32"/>
          <w:szCs w:val="32"/>
          <w:lang w:val="en-US" w:eastAsia="zh-CN"/>
        </w:rPr>
        <w:t>6.29</w:t>
      </w:r>
      <w:r>
        <w:rPr>
          <w:rFonts w:ascii="Times New Roman" w:hAnsi="Times New Roman" w:eastAsia="仿宋_GB2312" w:cs="Times New Roman"/>
          <w:snapToGrid/>
          <w:kern w:val="21"/>
          <w:sz w:val="32"/>
          <w:szCs w:val="32"/>
          <w:lang w:eastAsia="zh-CN"/>
        </w:rPr>
        <w:t>万元，比上年减少</w:t>
      </w:r>
      <w:r>
        <w:rPr>
          <w:rFonts w:hint="eastAsia" w:ascii="Times New Roman" w:hAnsi="Times New Roman" w:eastAsia="仿宋_GB2312" w:cs="Times New Roman"/>
          <w:snapToGrid/>
          <w:kern w:val="21"/>
          <w:sz w:val="32"/>
          <w:szCs w:val="32"/>
          <w:lang w:val="en-US" w:eastAsia="zh-CN"/>
        </w:rPr>
        <w:t>0.71</w:t>
      </w:r>
      <w:r>
        <w:rPr>
          <w:rFonts w:ascii="Times New Roman" w:hAnsi="Times New Roman" w:eastAsia="仿宋_GB2312" w:cs="Times New Roman"/>
          <w:snapToGrid/>
          <w:kern w:val="21"/>
          <w:sz w:val="32"/>
          <w:szCs w:val="32"/>
          <w:lang w:eastAsia="zh-CN"/>
        </w:rPr>
        <w:t>万元。主要原因是</w:t>
      </w:r>
      <w:r>
        <w:rPr>
          <w:rFonts w:hint="eastAsia" w:ascii="Times New Roman" w:hAnsi="Times New Roman" w:eastAsia="仿宋_GB2312" w:cs="Times New Roman"/>
          <w:snapToGrid/>
          <w:kern w:val="21"/>
          <w:sz w:val="32"/>
          <w:szCs w:val="32"/>
          <w:lang w:eastAsia="zh-CN"/>
        </w:rPr>
        <w:t>落实过紧日子，压缩一般性支出</w:t>
      </w:r>
      <w:r>
        <w:rPr>
          <w:rFonts w:ascii="Times New Roman" w:hAnsi="Times New Roman" w:eastAsia="仿宋_GB2312" w:cs="Times New Roman"/>
          <w:snapToGrid/>
          <w:kern w:val="21"/>
          <w:sz w:val="32"/>
          <w:szCs w:val="32"/>
          <w:lang w:eastAsia="zh-CN"/>
        </w:rPr>
        <w:t>。</w:t>
      </w:r>
    </w:p>
    <w:p w14:paraId="205D9A68">
      <w:pPr>
        <w:pStyle w:val="2"/>
        <w:widowControl w:val="0"/>
        <w:kinsoku/>
        <w:overflowPunct w:val="0"/>
        <w:topLinePunct/>
        <w:autoSpaceDE/>
        <w:autoSpaceDN/>
        <w:spacing w:line="560" w:lineRule="exact"/>
        <w:ind w:firstLine="640" w:firstLineChars="200"/>
        <w:jc w:val="both"/>
        <w:rPr>
          <w:rFonts w:ascii="Times New Roman" w:hAnsi="Times New Roman" w:eastAsia="仿宋_GB2312" w:cs="Times New Roman"/>
          <w:snapToGrid/>
          <w:kern w:val="21"/>
          <w:sz w:val="32"/>
          <w:szCs w:val="32"/>
          <w:lang w:eastAsia="zh-CN"/>
        </w:rPr>
      </w:pPr>
      <w:r>
        <w:rPr>
          <w:rFonts w:ascii="Times New Roman" w:hAnsi="Times New Roman" w:eastAsia="仿宋_GB2312" w:cs="Times New Roman"/>
          <w:snapToGrid/>
          <w:kern w:val="21"/>
          <w:sz w:val="32"/>
          <w:szCs w:val="32"/>
          <w:lang w:eastAsia="zh-CN"/>
        </w:rPr>
        <w:t>4.公务用车购置费</w:t>
      </w:r>
      <w:r>
        <w:rPr>
          <w:rFonts w:hint="eastAsia" w:ascii="Times New Roman" w:hAnsi="Times New Roman" w:eastAsia="仿宋_GB2312" w:cs="Times New Roman"/>
          <w:snapToGrid/>
          <w:kern w:val="21"/>
          <w:sz w:val="32"/>
          <w:szCs w:val="32"/>
          <w:lang w:val="en-US" w:eastAsia="zh-CN"/>
        </w:rPr>
        <w:t>0</w:t>
      </w:r>
      <w:r>
        <w:rPr>
          <w:rFonts w:ascii="Times New Roman" w:hAnsi="Times New Roman" w:eastAsia="仿宋_GB2312" w:cs="Times New Roman"/>
          <w:snapToGrid/>
          <w:kern w:val="21"/>
          <w:sz w:val="32"/>
          <w:szCs w:val="32"/>
          <w:lang w:eastAsia="zh-CN"/>
        </w:rPr>
        <w:t>万元，比上年增加</w:t>
      </w:r>
      <w:r>
        <w:rPr>
          <w:rFonts w:hint="eastAsia" w:ascii="Times New Roman" w:hAnsi="Times New Roman" w:eastAsia="仿宋_GB2312" w:cs="Times New Roman"/>
          <w:snapToGrid/>
          <w:kern w:val="21"/>
          <w:sz w:val="32"/>
          <w:szCs w:val="32"/>
          <w:lang w:val="en-US" w:eastAsia="zh-CN"/>
        </w:rPr>
        <w:t>0</w:t>
      </w:r>
      <w:r>
        <w:rPr>
          <w:rFonts w:ascii="Times New Roman" w:hAnsi="Times New Roman" w:eastAsia="仿宋_GB2312" w:cs="Times New Roman"/>
          <w:snapToGrid/>
          <w:kern w:val="21"/>
          <w:sz w:val="32"/>
          <w:szCs w:val="32"/>
          <w:lang w:eastAsia="zh-CN"/>
        </w:rPr>
        <w:t>万元。主要原因是与上年保持一致。</w:t>
      </w:r>
    </w:p>
    <w:p w14:paraId="2C78B763">
      <w:pPr>
        <w:pStyle w:val="2"/>
        <w:spacing w:before="101" w:line="222" w:lineRule="auto"/>
        <w:ind w:left="2992"/>
      </w:pPr>
      <w:r>
        <w:rPr>
          <w:b/>
          <w:bCs/>
          <w:spacing w:val="4"/>
        </w:rPr>
        <w:t>第四部分</w:t>
      </w:r>
      <w:r>
        <w:rPr>
          <w:spacing w:val="4"/>
        </w:rPr>
        <w:t xml:space="preserve">   </w:t>
      </w:r>
      <w:r>
        <w:rPr>
          <w:b/>
          <w:bCs/>
          <w:spacing w:val="4"/>
        </w:rPr>
        <w:t>名词解释</w:t>
      </w:r>
    </w:p>
    <w:p w14:paraId="6B5F84D9">
      <w:pPr>
        <w:pStyle w:val="2"/>
        <w:widowControl w:val="0"/>
        <w:kinsoku/>
        <w:overflowPunct w:val="0"/>
        <w:topLinePunct/>
        <w:autoSpaceDE/>
        <w:autoSpaceDN/>
        <w:spacing w:line="560" w:lineRule="exact"/>
        <w:ind w:firstLine="640" w:firstLineChars="200"/>
        <w:jc w:val="both"/>
        <w:rPr>
          <w:rFonts w:ascii="Times New Roman" w:hAnsi="Times New Roman" w:eastAsia="仿宋_GB2312" w:cs="Times New Roman"/>
          <w:snapToGrid/>
          <w:kern w:val="21"/>
          <w:sz w:val="32"/>
          <w:szCs w:val="32"/>
          <w:lang w:eastAsia="zh-CN"/>
        </w:rPr>
      </w:pPr>
      <w:r>
        <w:rPr>
          <w:rFonts w:ascii="Times New Roman" w:hAnsi="Times New Roman" w:eastAsia="仿宋_GB2312" w:cs="Times New Roman"/>
          <w:snapToGrid/>
          <w:kern w:val="21"/>
          <w:sz w:val="32"/>
          <w:szCs w:val="32"/>
          <w:lang w:eastAsia="zh-CN"/>
        </w:rPr>
        <w:t>一、收入科目</w:t>
      </w:r>
    </w:p>
    <w:p w14:paraId="29EBF1EE">
      <w:pPr>
        <w:pStyle w:val="2"/>
        <w:widowControl w:val="0"/>
        <w:kinsoku/>
        <w:overflowPunct w:val="0"/>
        <w:topLinePunct/>
        <w:autoSpaceDE/>
        <w:autoSpaceDN/>
        <w:spacing w:line="560" w:lineRule="exact"/>
        <w:ind w:firstLine="640" w:firstLineChars="200"/>
        <w:jc w:val="both"/>
        <w:rPr>
          <w:rFonts w:ascii="Times New Roman" w:hAnsi="Times New Roman" w:eastAsia="仿宋_GB2312" w:cs="Times New Roman"/>
          <w:snapToGrid/>
          <w:kern w:val="21"/>
          <w:sz w:val="32"/>
          <w:szCs w:val="32"/>
          <w:lang w:eastAsia="zh-CN"/>
        </w:rPr>
      </w:pPr>
      <w:r>
        <w:rPr>
          <w:rFonts w:ascii="Times New Roman" w:hAnsi="Times New Roman" w:eastAsia="仿宋_GB2312" w:cs="Times New Roman"/>
          <w:snapToGrid/>
          <w:kern w:val="21"/>
          <w:sz w:val="32"/>
          <w:szCs w:val="32"/>
          <w:lang w:eastAsia="zh-CN"/>
        </w:rPr>
        <w:t>（ 一）财政拨款：指省级财政当年拨付的资金。</w:t>
      </w:r>
    </w:p>
    <w:p w14:paraId="76078E51">
      <w:pPr>
        <w:pStyle w:val="2"/>
        <w:widowControl w:val="0"/>
        <w:kinsoku/>
        <w:overflowPunct w:val="0"/>
        <w:topLinePunct/>
        <w:autoSpaceDE/>
        <w:autoSpaceDN/>
        <w:spacing w:line="560" w:lineRule="exact"/>
        <w:ind w:firstLine="640" w:firstLineChars="200"/>
        <w:jc w:val="both"/>
        <w:rPr>
          <w:rFonts w:ascii="Times New Roman" w:hAnsi="Times New Roman" w:eastAsia="仿宋_GB2312" w:cs="Times New Roman"/>
          <w:snapToGrid/>
          <w:kern w:val="21"/>
          <w:sz w:val="32"/>
          <w:szCs w:val="32"/>
          <w:lang w:eastAsia="zh-CN"/>
        </w:rPr>
      </w:pPr>
      <w:r>
        <w:rPr>
          <w:rFonts w:ascii="Times New Roman" w:hAnsi="Times New Roman" w:eastAsia="仿宋_GB2312" w:cs="Times New Roman"/>
          <w:snapToGrid/>
          <w:kern w:val="21"/>
          <w:sz w:val="32"/>
          <w:szCs w:val="32"/>
          <w:lang w:eastAsia="zh-CN"/>
        </w:rPr>
        <w:t>（ 二）教育收费资金收入：反映实行专项管理的高中以 上学费、住宿费，高校委托培养费，函大、电大、夜大及短训班培训费等教育收费取得的收入。</w:t>
      </w:r>
    </w:p>
    <w:p w14:paraId="700A3A7A">
      <w:pPr>
        <w:pStyle w:val="2"/>
        <w:widowControl w:val="0"/>
        <w:kinsoku/>
        <w:overflowPunct w:val="0"/>
        <w:topLinePunct/>
        <w:autoSpaceDE/>
        <w:autoSpaceDN/>
        <w:spacing w:line="560" w:lineRule="exact"/>
        <w:ind w:firstLine="640" w:firstLineChars="200"/>
        <w:jc w:val="both"/>
        <w:rPr>
          <w:rFonts w:ascii="Times New Roman" w:hAnsi="Times New Roman" w:eastAsia="仿宋_GB2312" w:cs="Times New Roman"/>
          <w:snapToGrid/>
          <w:kern w:val="21"/>
          <w:sz w:val="32"/>
          <w:szCs w:val="32"/>
          <w:lang w:eastAsia="zh-CN"/>
        </w:rPr>
      </w:pPr>
      <w:r>
        <w:rPr>
          <w:rFonts w:ascii="Times New Roman" w:hAnsi="Times New Roman" w:eastAsia="仿宋_GB2312" w:cs="Times New Roman"/>
          <w:snapToGrid/>
          <w:kern w:val="21"/>
          <w:sz w:val="32"/>
          <w:szCs w:val="32"/>
          <w:lang w:eastAsia="zh-CN"/>
        </w:rPr>
        <w:t>（三）事业收入：指事业单位开展专业业务活动及辅助</w:t>
      </w:r>
    </w:p>
    <w:p w14:paraId="3A4AAB1F">
      <w:pPr>
        <w:pStyle w:val="2"/>
        <w:widowControl w:val="0"/>
        <w:kinsoku/>
        <w:overflowPunct w:val="0"/>
        <w:topLinePunct/>
        <w:autoSpaceDE/>
        <w:autoSpaceDN/>
        <w:spacing w:line="560" w:lineRule="exact"/>
        <w:jc w:val="both"/>
        <w:rPr>
          <w:rFonts w:ascii="Times New Roman" w:hAnsi="Times New Roman" w:eastAsia="仿宋_GB2312" w:cs="Times New Roman"/>
          <w:snapToGrid/>
          <w:kern w:val="21"/>
          <w:sz w:val="32"/>
          <w:szCs w:val="32"/>
          <w:lang w:eastAsia="zh-CN"/>
        </w:rPr>
      </w:pPr>
      <w:r>
        <w:rPr>
          <w:rFonts w:ascii="Times New Roman" w:hAnsi="Times New Roman" w:eastAsia="仿宋_GB2312" w:cs="Times New Roman"/>
          <w:snapToGrid/>
          <w:kern w:val="21"/>
          <w:sz w:val="32"/>
          <w:szCs w:val="32"/>
          <w:lang w:eastAsia="zh-CN"/>
        </w:rPr>
        <w:t>活动取得的收入。</w:t>
      </w:r>
    </w:p>
    <w:p w14:paraId="1CB9B5C6">
      <w:pPr>
        <w:pStyle w:val="2"/>
        <w:widowControl w:val="0"/>
        <w:kinsoku/>
        <w:overflowPunct w:val="0"/>
        <w:topLinePunct/>
        <w:autoSpaceDE/>
        <w:autoSpaceDN/>
        <w:spacing w:line="560" w:lineRule="exact"/>
        <w:ind w:firstLine="640" w:firstLineChars="200"/>
        <w:jc w:val="both"/>
        <w:rPr>
          <w:rFonts w:ascii="Times New Roman" w:hAnsi="Times New Roman" w:eastAsia="仿宋_GB2312" w:cs="Times New Roman"/>
          <w:snapToGrid/>
          <w:kern w:val="21"/>
          <w:sz w:val="32"/>
          <w:szCs w:val="32"/>
          <w:lang w:eastAsia="zh-CN"/>
        </w:rPr>
      </w:pPr>
      <w:r>
        <w:rPr>
          <w:rFonts w:ascii="Times New Roman" w:hAnsi="Times New Roman" w:eastAsia="仿宋_GB2312" w:cs="Times New Roman"/>
          <w:snapToGrid/>
          <w:kern w:val="21"/>
          <w:sz w:val="32"/>
          <w:szCs w:val="32"/>
          <w:lang w:eastAsia="zh-CN"/>
        </w:rPr>
        <w:t>（四）事业单位经营收入：指事业单位在专业业务活动</w:t>
      </w:r>
    </w:p>
    <w:p w14:paraId="3ADCB817">
      <w:pPr>
        <w:pStyle w:val="2"/>
        <w:widowControl w:val="0"/>
        <w:kinsoku/>
        <w:overflowPunct w:val="0"/>
        <w:topLinePunct/>
        <w:autoSpaceDE/>
        <w:autoSpaceDN/>
        <w:spacing w:line="560" w:lineRule="exact"/>
        <w:jc w:val="both"/>
        <w:rPr>
          <w:rFonts w:ascii="Times New Roman" w:hAnsi="Times New Roman" w:eastAsia="仿宋_GB2312" w:cs="Times New Roman"/>
          <w:snapToGrid/>
          <w:kern w:val="21"/>
          <w:sz w:val="32"/>
          <w:szCs w:val="32"/>
          <w:lang w:eastAsia="zh-CN"/>
        </w:rPr>
      </w:pPr>
      <w:r>
        <w:rPr>
          <w:rFonts w:ascii="Times New Roman" w:hAnsi="Times New Roman" w:eastAsia="仿宋_GB2312" w:cs="Times New Roman"/>
          <w:snapToGrid/>
          <w:kern w:val="21"/>
          <w:sz w:val="32"/>
          <w:szCs w:val="32"/>
          <w:lang w:eastAsia="zh-CN"/>
        </w:rPr>
        <w:t>及辅助活动之外开展非独立核算经营活动取得的收入。</w:t>
      </w:r>
    </w:p>
    <w:p w14:paraId="1C3A22C6">
      <w:pPr>
        <w:pStyle w:val="2"/>
        <w:widowControl w:val="0"/>
        <w:kinsoku/>
        <w:overflowPunct w:val="0"/>
        <w:topLinePunct/>
        <w:autoSpaceDE/>
        <w:autoSpaceDN/>
        <w:spacing w:line="560" w:lineRule="exact"/>
        <w:ind w:firstLine="640" w:firstLineChars="200"/>
        <w:jc w:val="both"/>
        <w:rPr>
          <w:rFonts w:ascii="Times New Roman" w:hAnsi="Times New Roman" w:eastAsia="仿宋_GB2312" w:cs="Times New Roman"/>
          <w:snapToGrid/>
          <w:kern w:val="21"/>
          <w:sz w:val="32"/>
          <w:szCs w:val="32"/>
          <w:lang w:eastAsia="zh-CN"/>
        </w:rPr>
      </w:pPr>
      <w:r>
        <w:rPr>
          <w:rFonts w:ascii="Times New Roman" w:hAnsi="Times New Roman" w:eastAsia="仿宋_GB2312" w:cs="Times New Roman"/>
          <w:snapToGrid/>
          <w:kern w:val="21"/>
          <w:sz w:val="32"/>
          <w:szCs w:val="32"/>
          <w:lang w:eastAsia="zh-CN"/>
        </w:rPr>
        <w:t>（五）附属单位上缴收入：反映事业单位附属的独立核 算单位按规定标准或比例缴纳的各项收入。包括附属的事业</w:t>
      </w:r>
    </w:p>
    <w:p w14:paraId="117FD689">
      <w:pPr>
        <w:pStyle w:val="2"/>
        <w:widowControl w:val="0"/>
        <w:kinsoku/>
        <w:overflowPunct w:val="0"/>
        <w:topLinePunct/>
        <w:autoSpaceDE/>
        <w:autoSpaceDN/>
        <w:spacing w:line="560" w:lineRule="exact"/>
        <w:jc w:val="both"/>
        <w:rPr>
          <w:rFonts w:ascii="Times New Roman" w:hAnsi="Times New Roman" w:eastAsia="仿宋_GB2312" w:cs="Times New Roman"/>
          <w:snapToGrid/>
          <w:kern w:val="21"/>
          <w:sz w:val="32"/>
          <w:szCs w:val="32"/>
          <w:lang w:eastAsia="zh-CN"/>
        </w:rPr>
      </w:pPr>
      <w:r>
        <w:rPr>
          <w:rFonts w:ascii="Times New Roman" w:hAnsi="Times New Roman" w:eastAsia="仿宋_GB2312" w:cs="Times New Roman"/>
          <w:snapToGrid/>
          <w:kern w:val="21"/>
          <w:sz w:val="32"/>
          <w:szCs w:val="32"/>
          <w:lang w:eastAsia="zh-CN"/>
        </w:rPr>
        <w:t>单位上缴的收入和附属的企业上缴的利润等。</w:t>
      </w:r>
    </w:p>
    <w:p w14:paraId="0840A422">
      <w:pPr>
        <w:pStyle w:val="2"/>
        <w:widowControl w:val="0"/>
        <w:kinsoku/>
        <w:overflowPunct w:val="0"/>
        <w:topLinePunct/>
        <w:autoSpaceDE/>
        <w:autoSpaceDN/>
        <w:spacing w:line="560" w:lineRule="exact"/>
        <w:ind w:firstLine="640" w:firstLineChars="200"/>
        <w:jc w:val="both"/>
        <w:rPr>
          <w:rFonts w:ascii="Times New Roman" w:hAnsi="Times New Roman" w:eastAsia="仿宋_GB2312" w:cs="Times New Roman"/>
          <w:snapToGrid/>
          <w:kern w:val="21"/>
          <w:sz w:val="32"/>
          <w:szCs w:val="32"/>
          <w:lang w:eastAsia="zh-CN"/>
        </w:rPr>
      </w:pPr>
      <w:r>
        <w:rPr>
          <w:rFonts w:ascii="Times New Roman" w:hAnsi="Times New Roman" w:eastAsia="仿宋_GB2312" w:cs="Times New Roman"/>
          <w:snapToGrid/>
          <w:kern w:val="21"/>
          <w:sz w:val="32"/>
          <w:szCs w:val="32"/>
          <w:lang w:eastAsia="zh-CN"/>
        </w:rPr>
        <w:t>（六）上级补助收入：反映事业单位从主管部门和上级</w:t>
      </w:r>
    </w:p>
    <w:p w14:paraId="1392D1BB">
      <w:pPr>
        <w:pStyle w:val="2"/>
        <w:widowControl w:val="0"/>
        <w:kinsoku/>
        <w:overflowPunct w:val="0"/>
        <w:topLinePunct/>
        <w:autoSpaceDE/>
        <w:autoSpaceDN/>
        <w:spacing w:line="560" w:lineRule="exact"/>
        <w:ind w:firstLine="640" w:firstLineChars="200"/>
        <w:jc w:val="both"/>
        <w:rPr>
          <w:rFonts w:ascii="Times New Roman" w:hAnsi="Times New Roman" w:eastAsia="仿宋_GB2312" w:cs="Times New Roman"/>
          <w:snapToGrid/>
          <w:kern w:val="21"/>
          <w:sz w:val="32"/>
          <w:szCs w:val="32"/>
          <w:lang w:eastAsia="zh-CN"/>
        </w:rPr>
      </w:pPr>
      <w:r>
        <w:rPr>
          <w:rFonts w:ascii="Times New Roman" w:hAnsi="Times New Roman" w:eastAsia="仿宋_GB2312" w:cs="Times New Roman"/>
          <w:snapToGrid/>
          <w:kern w:val="21"/>
          <w:sz w:val="32"/>
          <w:szCs w:val="32"/>
          <w:lang w:eastAsia="zh-CN"/>
        </w:rPr>
        <w:t>单位取得的非财政补助收入。</w:t>
      </w:r>
    </w:p>
    <w:p w14:paraId="709DD952">
      <w:pPr>
        <w:pStyle w:val="2"/>
        <w:widowControl w:val="0"/>
        <w:kinsoku/>
        <w:overflowPunct w:val="0"/>
        <w:topLinePunct/>
        <w:autoSpaceDE/>
        <w:autoSpaceDN/>
        <w:spacing w:line="560" w:lineRule="exact"/>
        <w:ind w:firstLine="640" w:firstLineChars="200"/>
        <w:jc w:val="both"/>
        <w:rPr>
          <w:rFonts w:ascii="Times New Roman" w:hAnsi="Times New Roman" w:eastAsia="仿宋_GB2312" w:cs="Times New Roman"/>
          <w:snapToGrid/>
          <w:kern w:val="21"/>
          <w:sz w:val="32"/>
          <w:szCs w:val="32"/>
          <w:lang w:eastAsia="zh-CN"/>
        </w:rPr>
      </w:pPr>
      <w:r>
        <w:rPr>
          <w:rFonts w:ascii="Times New Roman" w:hAnsi="Times New Roman" w:eastAsia="仿宋_GB2312" w:cs="Times New Roman"/>
          <w:snapToGrid/>
          <w:kern w:val="21"/>
          <w:sz w:val="32"/>
          <w:szCs w:val="32"/>
          <w:lang w:eastAsia="zh-CN"/>
        </w:rPr>
        <w:t>（七）其他收入：指除财政拨款、事业收入、事业单位</w:t>
      </w:r>
    </w:p>
    <w:p w14:paraId="2EA4150A">
      <w:pPr>
        <w:pStyle w:val="2"/>
        <w:widowControl w:val="0"/>
        <w:kinsoku/>
        <w:overflowPunct w:val="0"/>
        <w:topLinePunct/>
        <w:autoSpaceDE/>
        <w:autoSpaceDN/>
        <w:spacing w:line="560" w:lineRule="exact"/>
        <w:ind w:firstLine="640" w:firstLineChars="200"/>
        <w:jc w:val="both"/>
        <w:rPr>
          <w:rFonts w:ascii="Times New Roman" w:hAnsi="Times New Roman" w:eastAsia="仿宋_GB2312" w:cs="Times New Roman"/>
          <w:snapToGrid/>
          <w:kern w:val="21"/>
          <w:sz w:val="32"/>
          <w:szCs w:val="32"/>
          <w:lang w:eastAsia="zh-CN"/>
        </w:rPr>
      </w:pPr>
      <w:r>
        <w:rPr>
          <w:rFonts w:ascii="Times New Roman" w:hAnsi="Times New Roman" w:eastAsia="仿宋_GB2312" w:cs="Times New Roman"/>
          <w:snapToGrid/>
          <w:kern w:val="21"/>
          <w:sz w:val="32"/>
          <w:szCs w:val="32"/>
          <w:lang w:eastAsia="zh-CN"/>
        </w:rPr>
        <w:t>经营收入等以外的各项收入。</w:t>
      </w:r>
    </w:p>
    <w:p w14:paraId="7F8A7A6E">
      <w:pPr>
        <w:pStyle w:val="2"/>
        <w:widowControl w:val="0"/>
        <w:kinsoku/>
        <w:overflowPunct w:val="0"/>
        <w:topLinePunct/>
        <w:autoSpaceDE/>
        <w:autoSpaceDN/>
        <w:spacing w:line="560" w:lineRule="exact"/>
        <w:ind w:firstLine="640" w:firstLineChars="200"/>
        <w:jc w:val="both"/>
        <w:rPr>
          <w:rFonts w:ascii="Times New Roman" w:hAnsi="Times New Roman" w:eastAsia="仿宋_GB2312" w:cs="Times New Roman"/>
          <w:snapToGrid/>
          <w:kern w:val="21"/>
          <w:sz w:val="32"/>
          <w:szCs w:val="32"/>
          <w:lang w:eastAsia="zh-CN"/>
        </w:rPr>
      </w:pPr>
      <w:r>
        <w:rPr>
          <w:rFonts w:ascii="Times New Roman" w:hAnsi="Times New Roman" w:eastAsia="仿宋_GB2312" w:cs="Times New Roman"/>
          <w:snapToGrid/>
          <w:kern w:val="21"/>
          <w:sz w:val="32"/>
          <w:szCs w:val="32"/>
          <w:lang w:eastAsia="zh-CN"/>
        </w:rPr>
        <w:t>（八）使用非财政拨款结余：填列历年滚存的非限定用途的非统计财政拨款结余弥补</w:t>
      </w:r>
      <w:r>
        <w:rPr>
          <w:rFonts w:hint="eastAsia" w:ascii="Times New Roman" w:hAnsi="Times New Roman" w:eastAsia="仿宋_GB2312" w:cs="Times New Roman"/>
          <w:snapToGrid/>
          <w:kern w:val="21"/>
          <w:sz w:val="32"/>
          <w:szCs w:val="32"/>
          <w:lang w:val="en-US" w:eastAsia="zh-CN"/>
        </w:rPr>
        <w:t>2024</w:t>
      </w:r>
      <w:r>
        <w:rPr>
          <w:rFonts w:ascii="Times New Roman" w:hAnsi="Times New Roman" w:eastAsia="仿宋_GB2312" w:cs="Times New Roman"/>
          <w:snapToGrid/>
          <w:kern w:val="21"/>
          <w:sz w:val="32"/>
          <w:szCs w:val="32"/>
          <w:lang w:eastAsia="zh-CN"/>
        </w:rPr>
        <w:t>年收支差额的数额。</w:t>
      </w:r>
    </w:p>
    <w:p w14:paraId="17F91396">
      <w:pPr>
        <w:pStyle w:val="2"/>
        <w:widowControl w:val="0"/>
        <w:kinsoku/>
        <w:overflowPunct w:val="0"/>
        <w:topLinePunct/>
        <w:autoSpaceDE/>
        <w:autoSpaceDN/>
        <w:spacing w:line="560" w:lineRule="exact"/>
        <w:ind w:firstLine="640" w:firstLineChars="200"/>
        <w:jc w:val="both"/>
        <w:rPr>
          <w:rFonts w:ascii="Times New Roman" w:hAnsi="Times New Roman" w:eastAsia="仿宋_GB2312" w:cs="Times New Roman"/>
          <w:snapToGrid/>
          <w:kern w:val="21"/>
          <w:sz w:val="32"/>
          <w:szCs w:val="32"/>
          <w:lang w:eastAsia="zh-CN"/>
        </w:rPr>
      </w:pPr>
      <w:r>
        <w:rPr>
          <w:rFonts w:ascii="Times New Roman" w:hAnsi="Times New Roman" w:eastAsia="仿宋_GB2312" w:cs="Times New Roman"/>
          <w:snapToGrid/>
          <w:kern w:val="21"/>
          <w:sz w:val="32"/>
          <w:szCs w:val="32"/>
          <w:lang w:eastAsia="zh-CN"/>
        </w:rPr>
        <w:t>（九）上年结转和结余：填列</w:t>
      </w:r>
      <w:r>
        <w:rPr>
          <w:rFonts w:hint="eastAsia" w:ascii="Times New Roman" w:hAnsi="Times New Roman" w:eastAsia="仿宋_GB2312" w:cs="Times New Roman"/>
          <w:snapToGrid/>
          <w:kern w:val="21"/>
          <w:sz w:val="32"/>
          <w:szCs w:val="32"/>
          <w:lang w:val="en-US" w:eastAsia="zh-CN"/>
        </w:rPr>
        <w:t>2024</w:t>
      </w:r>
      <w:r>
        <w:rPr>
          <w:rFonts w:ascii="Times New Roman" w:hAnsi="Times New Roman" w:eastAsia="仿宋_GB2312" w:cs="Times New Roman"/>
          <w:snapToGrid/>
          <w:kern w:val="21"/>
          <w:sz w:val="32"/>
          <w:szCs w:val="32"/>
          <w:lang w:eastAsia="zh-CN"/>
        </w:rPr>
        <w:t>年（上年）全部结转和 结余的资金数，包括当年结转结余资金和历年滚存结转结余资金。</w:t>
      </w:r>
    </w:p>
    <w:p w14:paraId="61C50E1E">
      <w:pPr>
        <w:spacing w:line="345" w:lineRule="auto"/>
        <w:rPr>
          <w:rFonts w:ascii="Arial"/>
          <w:sz w:val="21"/>
        </w:rPr>
      </w:pPr>
    </w:p>
    <w:p w14:paraId="320A1954">
      <w:pPr>
        <w:spacing w:line="345" w:lineRule="auto"/>
        <w:rPr>
          <w:rFonts w:ascii="Arial"/>
          <w:sz w:val="21"/>
        </w:rPr>
      </w:pPr>
    </w:p>
    <w:p w14:paraId="22BC8AFE">
      <w:pPr>
        <w:pStyle w:val="2"/>
        <w:widowControl w:val="0"/>
        <w:kinsoku/>
        <w:overflowPunct w:val="0"/>
        <w:topLinePunct/>
        <w:autoSpaceDE/>
        <w:autoSpaceDN/>
        <w:spacing w:line="560" w:lineRule="exact"/>
        <w:ind w:firstLine="640" w:firstLineChars="200"/>
        <w:jc w:val="both"/>
        <w:rPr>
          <w:rFonts w:ascii="Times New Roman" w:hAnsi="Times New Roman" w:eastAsia="仿宋_GB2312" w:cs="Times New Roman"/>
          <w:snapToGrid/>
          <w:kern w:val="21"/>
          <w:sz w:val="32"/>
          <w:szCs w:val="32"/>
          <w:lang w:eastAsia="zh-CN"/>
        </w:rPr>
      </w:pPr>
      <w:r>
        <w:rPr>
          <w:rFonts w:ascii="Times New Roman" w:hAnsi="Times New Roman" w:eastAsia="仿宋_GB2312" w:cs="Times New Roman"/>
          <w:snapToGrid/>
          <w:kern w:val="21"/>
          <w:sz w:val="32"/>
          <w:szCs w:val="32"/>
          <w:lang w:eastAsia="zh-CN"/>
        </w:rPr>
        <w:t>二、支出科目</w:t>
      </w:r>
    </w:p>
    <w:p w14:paraId="19C30E3C">
      <w:pPr>
        <w:pStyle w:val="2"/>
        <w:widowControl w:val="0"/>
        <w:kinsoku/>
        <w:overflowPunct w:val="0"/>
        <w:topLinePunct/>
        <w:autoSpaceDE/>
        <w:autoSpaceDN/>
        <w:spacing w:line="560" w:lineRule="exact"/>
        <w:ind w:firstLine="640" w:firstLineChars="200"/>
        <w:jc w:val="both"/>
        <w:rPr>
          <w:rFonts w:hint="eastAsia" w:ascii="Times New Roman" w:hAnsi="Times New Roman" w:eastAsia="仿宋_GB2312" w:cs="Times New Roman"/>
          <w:snapToGrid/>
          <w:kern w:val="21"/>
          <w:sz w:val="32"/>
          <w:szCs w:val="32"/>
          <w:lang w:val="en-US" w:eastAsia="zh-CN"/>
        </w:rPr>
      </w:pPr>
      <w:r>
        <w:rPr>
          <w:rFonts w:hint="eastAsia" w:ascii="Times New Roman" w:hAnsi="Times New Roman" w:eastAsia="仿宋_GB2312" w:cs="Times New Roman"/>
          <w:snapToGrid/>
          <w:kern w:val="21"/>
          <w:sz w:val="32"/>
          <w:szCs w:val="32"/>
          <w:lang w:val="en-US" w:eastAsia="zh-CN"/>
        </w:rPr>
        <w:t>1.文化旅游体育与传媒支出（类）文化和旅游（款）图书馆（项）：反映图书馆的支出。</w:t>
      </w:r>
    </w:p>
    <w:p w14:paraId="3913ABB2">
      <w:pPr>
        <w:pStyle w:val="2"/>
        <w:widowControl w:val="0"/>
        <w:kinsoku/>
        <w:overflowPunct w:val="0"/>
        <w:topLinePunct/>
        <w:autoSpaceDE/>
        <w:autoSpaceDN/>
        <w:spacing w:line="560" w:lineRule="exact"/>
        <w:ind w:firstLine="640" w:firstLineChars="200"/>
        <w:jc w:val="both"/>
        <w:rPr>
          <w:rFonts w:hint="eastAsia" w:ascii="Times New Roman" w:hAnsi="Times New Roman" w:eastAsia="仿宋_GB2312" w:cs="Times New Roman"/>
          <w:snapToGrid/>
          <w:kern w:val="21"/>
          <w:sz w:val="32"/>
          <w:szCs w:val="32"/>
          <w:lang w:val="en-US" w:eastAsia="zh-CN"/>
        </w:rPr>
      </w:pPr>
      <w:r>
        <w:rPr>
          <w:rFonts w:hint="eastAsia" w:ascii="Times New Roman" w:hAnsi="Times New Roman" w:eastAsia="仿宋_GB2312" w:cs="Times New Roman"/>
          <w:snapToGrid/>
          <w:kern w:val="21"/>
          <w:sz w:val="32"/>
          <w:szCs w:val="32"/>
          <w:lang w:val="en-US" w:eastAsia="zh-CN"/>
        </w:rPr>
        <w:t>2.文化旅游体育与传媒支出（类）文化和旅游（款）群众文化（项）：反映群众文化方面的支出，包括基层文化馆（站）、群众艺术馆支出等。</w:t>
      </w:r>
    </w:p>
    <w:p w14:paraId="5A114F8D">
      <w:pPr>
        <w:pStyle w:val="2"/>
        <w:widowControl w:val="0"/>
        <w:kinsoku/>
        <w:overflowPunct w:val="0"/>
        <w:topLinePunct/>
        <w:autoSpaceDE/>
        <w:autoSpaceDN/>
        <w:spacing w:line="560" w:lineRule="exact"/>
        <w:ind w:firstLine="640" w:firstLineChars="200"/>
        <w:jc w:val="both"/>
        <w:rPr>
          <w:rFonts w:hint="eastAsia" w:ascii="Times New Roman" w:hAnsi="Times New Roman" w:eastAsia="仿宋_GB2312" w:cs="Times New Roman"/>
          <w:snapToGrid/>
          <w:kern w:val="21"/>
          <w:sz w:val="32"/>
          <w:szCs w:val="32"/>
          <w:lang w:val="en-US" w:eastAsia="zh-CN"/>
        </w:rPr>
      </w:pPr>
      <w:r>
        <w:rPr>
          <w:rFonts w:hint="eastAsia" w:ascii="Times New Roman" w:hAnsi="Times New Roman" w:eastAsia="仿宋_GB2312" w:cs="Times New Roman"/>
          <w:snapToGrid/>
          <w:kern w:val="21"/>
          <w:sz w:val="32"/>
          <w:szCs w:val="32"/>
          <w:lang w:val="en-US" w:eastAsia="zh-CN"/>
        </w:rPr>
        <w:t>3.文化旅游体育与传媒支出（类）文化和旅游（款）文化创造与保护（项）：反映鼓励文学、艺术创作和民族民间传统文化保护方面的支出。</w:t>
      </w:r>
    </w:p>
    <w:p w14:paraId="019EDDC9">
      <w:pPr>
        <w:pStyle w:val="2"/>
        <w:widowControl w:val="0"/>
        <w:kinsoku/>
        <w:overflowPunct w:val="0"/>
        <w:topLinePunct/>
        <w:autoSpaceDE/>
        <w:autoSpaceDN/>
        <w:spacing w:line="560" w:lineRule="exact"/>
        <w:ind w:firstLine="640" w:firstLineChars="200"/>
        <w:jc w:val="both"/>
        <w:rPr>
          <w:rFonts w:hint="eastAsia" w:ascii="Times New Roman" w:hAnsi="Times New Roman" w:eastAsia="仿宋_GB2312" w:cs="Times New Roman"/>
          <w:snapToGrid/>
          <w:kern w:val="21"/>
          <w:sz w:val="32"/>
          <w:szCs w:val="32"/>
          <w:lang w:val="en-US" w:eastAsia="zh-CN"/>
        </w:rPr>
      </w:pPr>
      <w:r>
        <w:rPr>
          <w:rFonts w:hint="eastAsia" w:ascii="Times New Roman" w:hAnsi="Times New Roman" w:eastAsia="仿宋_GB2312" w:cs="Times New Roman"/>
          <w:snapToGrid/>
          <w:kern w:val="21"/>
          <w:sz w:val="32"/>
          <w:szCs w:val="32"/>
          <w:lang w:val="en-US" w:eastAsia="zh-CN"/>
        </w:rPr>
        <w:t>4.文化旅游体育与传媒支出（类）文化和旅游（款）其他文化和旅游支出（项）：反映除上述项目以外其他用于文化方面的支出。</w:t>
      </w:r>
    </w:p>
    <w:p w14:paraId="77D4BE5E">
      <w:pPr>
        <w:pStyle w:val="2"/>
        <w:widowControl w:val="0"/>
        <w:kinsoku/>
        <w:overflowPunct w:val="0"/>
        <w:topLinePunct/>
        <w:autoSpaceDE/>
        <w:autoSpaceDN/>
        <w:spacing w:line="560" w:lineRule="exact"/>
        <w:ind w:firstLine="640" w:firstLineChars="200"/>
        <w:jc w:val="both"/>
        <w:rPr>
          <w:rFonts w:hint="eastAsia" w:ascii="Times New Roman" w:hAnsi="Times New Roman" w:eastAsia="仿宋_GB2312" w:cs="Times New Roman"/>
          <w:snapToGrid/>
          <w:kern w:val="21"/>
          <w:sz w:val="32"/>
          <w:szCs w:val="32"/>
          <w:lang w:val="en-US" w:eastAsia="zh-CN"/>
        </w:rPr>
      </w:pPr>
      <w:r>
        <w:rPr>
          <w:rFonts w:hint="eastAsia" w:ascii="Times New Roman" w:hAnsi="Times New Roman" w:eastAsia="仿宋_GB2312" w:cs="Times New Roman"/>
          <w:snapToGrid/>
          <w:kern w:val="21"/>
          <w:sz w:val="32"/>
          <w:szCs w:val="32"/>
          <w:lang w:val="en-US" w:eastAsia="zh-CN"/>
        </w:rPr>
        <w:t>5.文化旅游体育与传媒支出（类）文物（款）文物保护（项）：反映考古发掘及文物保护方面的支出。</w:t>
      </w:r>
    </w:p>
    <w:p w14:paraId="4424F06F">
      <w:pPr>
        <w:pStyle w:val="2"/>
        <w:widowControl w:val="0"/>
        <w:kinsoku/>
        <w:overflowPunct w:val="0"/>
        <w:topLinePunct/>
        <w:autoSpaceDE/>
        <w:autoSpaceDN/>
        <w:spacing w:line="560" w:lineRule="exact"/>
        <w:ind w:firstLine="640" w:firstLineChars="200"/>
        <w:jc w:val="both"/>
        <w:rPr>
          <w:rFonts w:hint="default" w:ascii="Times New Roman" w:hAnsi="Times New Roman" w:eastAsia="仿宋_GB2312" w:cs="Times New Roman"/>
          <w:snapToGrid/>
          <w:kern w:val="21"/>
          <w:sz w:val="32"/>
          <w:szCs w:val="32"/>
          <w:lang w:val="en-US" w:eastAsia="zh-CN"/>
        </w:rPr>
      </w:pPr>
      <w:r>
        <w:rPr>
          <w:rFonts w:hint="eastAsia" w:ascii="Times New Roman" w:hAnsi="Times New Roman" w:eastAsia="仿宋_GB2312" w:cs="Times New Roman"/>
          <w:snapToGrid/>
          <w:kern w:val="21"/>
          <w:sz w:val="32"/>
          <w:szCs w:val="32"/>
          <w:lang w:val="en-US" w:eastAsia="zh-CN"/>
        </w:rPr>
        <w:t>6.文化旅游体育与传媒支出（类）文物（款）博物馆（项）：反映文物系统及其他部门所属博物馆、纪念馆（室）的支出。</w:t>
      </w:r>
    </w:p>
    <w:p w14:paraId="5CF914C8">
      <w:pPr>
        <w:pStyle w:val="2"/>
        <w:widowControl w:val="0"/>
        <w:kinsoku/>
        <w:overflowPunct w:val="0"/>
        <w:topLinePunct/>
        <w:autoSpaceDE/>
        <w:autoSpaceDN/>
        <w:spacing w:line="560" w:lineRule="exact"/>
        <w:ind w:firstLine="640" w:firstLineChars="200"/>
        <w:jc w:val="both"/>
        <w:rPr>
          <w:rFonts w:hint="eastAsia" w:ascii="Times New Roman" w:hAnsi="Times New Roman" w:eastAsia="仿宋_GB2312" w:cs="Times New Roman"/>
          <w:snapToGrid/>
          <w:kern w:val="21"/>
          <w:sz w:val="32"/>
          <w:szCs w:val="32"/>
          <w:lang w:val="en-US" w:eastAsia="zh-CN"/>
        </w:rPr>
      </w:pPr>
      <w:r>
        <w:rPr>
          <w:rFonts w:hint="eastAsia" w:ascii="Times New Roman" w:hAnsi="Times New Roman" w:eastAsia="仿宋_GB2312" w:cs="Times New Roman"/>
          <w:snapToGrid/>
          <w:kern w:val="21"/>
          <w:sz w:val="32"/>
          <w:szCs w:val="32"/>
          <w:lang w:val="en-US" w:eastAsia="zh-CN"/>
        </w:rPr>
        <w:t>7.社会保障和就业支出（类）行政事业单位养老支出（款）机关事业单位基本养老保险缴费支出（项）：反映机关事业部门实施养老保险制度由部门缴纳的基本养老保险费支出。</w:t>
      </w:r>
    </w:p>
    <w:p w14:paraId="4EF1D8AD">
      <w:pPr>
        <w:pStyle w:val="2"/>
        <w:widowControl w:val="0"/>
        <w:kinsoku/>
        <w:overflowPunct w:val="0"/>
        <w:topLinePunct/>
        <w:autoSpaceDE/>
        <w:autoSpaceDN/>
        <w:spacing w:line="560" w:lineRule="exact"/>
        <w:ind w:firstLine="640" w:firstLineChars="200"/>
        <w:jc w:val="both"/>
        <w:rPr>
          <w:rFonts w:hint="eastAsia" w:ascii="Times New Roman" w:hAnsi="Times New Roman" w:eastAsia="仿宋_GB2312" w:cs="Times New Roman"/>
          <w:snapToGrid/>
          <w:kern w:val="21"/>
          <w:sz w:val="32"/>
          <w:szCs w:val="32"/>
          <w:lang w:eastAsia="zh-CN"/>
        </w:rPr>
      </w:pPr>
      <w:r>
        <w:rPr>
          <w:rFonts w:hint="eastAsia" w:ascii="Times New Roman" w:hAnsi="Times New Roman" w:eastAsia="仿宋_GB2312" w:cs="Times New Roman"/>
          <w:snapToGrid/>
          <w:kern w:val="21"/>
          <w:sz w:val="32"/>
          <w:szCs w:val="32"/>
          <w:lang w:val="en-US" w:eastAsia="zh-CN"/>
        </w:rPr>
        <w:t>8.</w:t>
      </w:r>
      <w:r>
        <w:rPr>
          <w:rFonts w:hint="eastAsia" w:ascii="Times New Roman" w:hAnsi="Times New Roman" w:eastAsia="仿宋_GB2312" w:cs="Times New Roman"/>
          <w:snapToGrid/>
          <w:kern w:val="21"/>
          <w:sz w:val="32"/>
          <w:szCs w:val="32"/>
          <w:lang w:eastAsia="zh-CN"/>
        </w:rPr>
        <w:t>社会保障和就业</w:t>
      </w:r>
      <w:r>
        <w:rPr>
          <w:rFonts w:hint="eastAsia" w:ascii="Times New Roman" w:hAnsi="Times New Roman" w:eastAsia="仿宋_GB2312" w:cs="Times New Roman"/>
          <w:snapToGrid/>
          <w:kern w:val="21"/>
          <w:sz w:val="32"/>
          <w:szCs w:val="32"/>
          <w:lang w:val="en-US" w:eastAsia="zh-CN"/>
        </w:rPr>
        <w:t>支出</w:t>
      </w:r>
      <w:r>
        <w:rPr>
          <w:rFonts w:hint="eastAsia" w:ascii="Times New Roman" w:hAnsi="Times New Roman" w:eastAsia="仿宋_GB2312" w:cs="Times New Roman"/>
          <w:snapToGrid/>
          <w:kern w:val="21"/>
          <w:sz w:val="32"/>
          <w:szCs w:val="32"/>
          <w:lang w:eastAsia="zh-CN"/>
        </w:rPr>
        <w:t>（类）</w:t>
      </w:r>
      <w:r>
        <w:rPr>
          <w:rFonts w:hint="eastAsia" w:ascii="Times New Roman" w:hAnsi="Times New Roman" w:eastAsia="仿宋_GB2312" w:cs="Times New Roman"/>
          <w:snapToGrid/>
          <w:kern w:val="21"/>
          <w:sz w:val="32"/>
          <w:szCs w:val="32"/>
          <w:lang w:val="en-US" w:eastAsia="zh-CN"/>
        </w:rPr>
        <w:t>其他社会保障和就业支出</w:t>
      </w:r>
      <w:r>
        <w:rPr>
          <w:rFonts w:hint="eastAsia" w:ascii="Times New Roman" w:hAnsi="Times New Roman" w:eastAsia="仿宋_GB2312" w:cs="Times New Roman"/>
          <w:snapToGrid/>
          <w:kern w:val="21"/>
          <w:sz w:val="32"/>
          <w:szCs w:val="32"/>
          <w:lang w:eastAsia="zh-CN"/>
        </w:rPr>
        <w:t>（款）</w:t>
      </w:r>
      <w:r>
        <w:rPr>
          <w:rFonts w:hint="eastAsia" w:ascii="Times New Roman" w:hAnsi="Times New Roman" w:eastAsia="仿宋_GB2312" w:cs="Times New Roman"/>
          <w:snapToGrid/>
          <w:kern w:val="21"/>
          <w:sz w:val="32"/>
          <w:szCs w:val="32"/>
          <w:lang w:val="en-US" w:eastAsia="zh-CN"/>
        </w:rPr>
        <w:t>其他社会保障和就业支出</w:t>
      </w:r>
      <w:r>
        <w:rPr>
          <w:rFonts w:hint="eastAsia" w:ascii="Times New Roman" w:hAnsi="Times New Roman" w:eastAsia="仿宋_GB2312" w:cs="Times New Roman"/>
          <w:snapToGrid/>
          <w:kern w:val="21"/>
          <w:sz w:val="32"/>
          <w:szCs w:val="32"/>
          <w:lang w:eastAsia="zh-CN"/>
        </w:rPr>
        <w:t>（项）：反映除上述项目以外其他用于社会保障和就业方面的支出。</w:t>
      </w:r>
    </w:p>
    <w:p w14:paraId="70DDB051">
      <w:pPr>
        <w:pStyle w:val="2"/>
        <w:widowControl w:val="0"/>
        <w:kinsoku/>
        <w:overflowPunct w:val="0"/>
        <w:topLinePunct/>
        <w:autoSpaceDE/>
        <w:autoSpaceDN/>
        <w:spacing w:line="560" w:lineRule="exact"/>
        <w:ind w:firstLine="640" w:firstLineChars="200"/>
        <w:jc w:val="both"/>
        <w:rPr>
          <w:rFonts w:hint="default" w:ascii="Times New Roman" w:hAnsi="Times New Roman" w:eastAsia="仿宋_GB2312" w:cs="Times New Roman"/>
          <w:snapToGrid/>
          <w:kern w:val="21"/>
          <w:sz w:val="32"/>
          <w:szCs w:val="32"/>
          <w:lang w:val="en-US" w:eastAsia="zh-CN"/>
        </w:rPr>
      </w:pPr>
      <w:r>
        <w:rPr>
          <w:rFonts w:hint="eastAsia" w:ascii="Times New Roman" w:hAnsi="Times New Roman" w:eastAsia="仿宋_GB2312" w:cs="Times New Roman"/>
          <w:snapToGrid/>
          <w:kern w:val="21"/>
          <w:sz w:val="32"/>
          <w:szCs w:val="32"/>
          <w:lang w:val="en-US" w:eastAsia="zh-CN"/>
        </w:rPr>
        <w:t>9.</w:t>
      </w:r>
      <w:r>
        <w:rPr>
          <w:rFonts w:hint="eastAsia" w:ascii="Times New Roman" w:hAnsi="Times New Roman" w:eastAsia="仿宋_GB2312" w:cs="Times New Roman"/>
          <w:snapToGrid/>
          <w:kern w:val="21"/>
          <w:sz w:val="32"/>
          <w:szCs w:val="32"/>
          <w:lang w:eastAsia="zh-CN"/>
        </w:rPr>
        <w:t>卫生</w:t>
      </w:r>
      <w:r>
        <w:rPr>
          <w:rFonts w:hint="eastAsia" w:ascii="Times New Roman" w:hAnsi="Times New Roman" w:eastAsia="仿宋_GB2312" w:cs="Times New Roman"/>
          <w:snapToGrid/>
          <w:kern w:val="21"/>
          <w:sz w:val="32"/>
          <w:szCs w:val="32"/>
          <w:lang w:val="en-US" w:eastAsia="zh-CN"/>
        </w:rPr>
        <w:t>健康支出</w:t>
      </w:r>
      <w:r>
        <w:rPr>
          <w:rFonts w:hint="eastAsia" w:ascii="Times New Roman" w:hAnsi="Times New Roman" w:eastAsia="仿宋_GB2312" w:cs="Times New Roman"/>
          <w:snapToGrid/>
          <w:kern w:val="21"/>
          <w:sz w:val="32"/>
          <w:szCs w:val="32"/>
          <w:lang w:eastAsia="zh-CN"/>
        </w:rPr>
        <w:t>（类）</w:t>
      </w:r>
      <w:r>
        <w:rPr>
          <w:rFonts w:hint="eastAsia" w:ascii="Times New Roman" w:hAnsi="Times New Roman" w:eastAsia="仿宋_GB2312" w:cs="Times New Roman"/>
          <w:snapToGrid/>
          <w:kern w:val="21"/>
          <w:sz w:val="32"/>
          <w:szCs w:val="32"/>
          <w:lang w:val="en-US" w:eastAsia="zh-CN"/>
        </w:rPr>
        <w:t>行政事业单位医疗</w:t>
      </w:r>
      <w:r>
        <w:rPr>
          <w:rFonts w:hint="eastAsia" w:ascii="Times New Roman" w:hAnsi="Times New Roman" w:eastAsia="仿宋_GB2312" w:cs="Times New Roman"/>
          <w:snapToGrid/>
          <w:kern w:val="21"/>
          <w:sz w:val="32"/>
          <w:szCs w:val="32"/>
          <w:lang w:eastAsia="zh-CN"/>
        </w:rPr>
        <w:t>（款）</w:t>
      </w:r>
      <w:r>
        <w:rPr>
          <w:rFonts w:hint="eastAsia" w:ascii="Times New Roman" w:hAnsi="Times New Roman" w:eastAsia="仿宋_GB2312" w:cs="Times New Roman"/>
          <w:snapToGrid/>
          <w:kern w:val="21"/>
          <w:sz w:val="32"/>
          <w:szCs w:val="32"/>
          <w:lang w:val="en-US" w:eastAsia="zh-CN"/>
        </w:rPr>
        <w:t>事业</w:t>
      </w:r>
      <w:r>
        <w:rPr>
          <w:rFonts w:hint="eastAsia" w:ascii="Times New Roman" w:hAnsi="Times New Roman" w:eastAsia="仿宋_GB2312" w:cs="Times New Roman"/>
          <w:snapToGrid/>
          <w:kern w:val="21"/>
          <w:sz w:val="32"/>
          <w:szCs w:val="32"/>
          <w:lang w:eastAsia="zh-CN"/>
        </w:rPr>
        <w:t>单位医疗（项）：反映财政部门安排的事业单位基本医疗保险缴费经费，未参加医疗保险的事业单位的公费医疗经费，按国家规定享受离休人员待遇人员的医疗经费。</w:t>
      </w:r>
    </w:p>
    <w:p w14:paraId="610DAF0C">
      <w:pPr>
        <w:pStyle w:val="2"/>
        <w:widowControl w:val="0"/>
        <w:kinsoku/>
        <w:overflowPunct w:val="0"/>
        <w:topLinePunct/>
        <w:autoSpaceDE/>
        <w:autoSpaceDN/>
        <w:spacing w:line="560" w:lineRule="exact"/>
        <w:ind w:firstLine="640" w:firstLineChars="200"/>
        <w:jc w:val="both"/>
        <w:rPr>
          <w:rFonts w:hint="eastAsia" w:ascii="Times New Roman" w:hAnsi="Times New Roman" w:eastAsia="仿宋_GB2312" w:cs="Times New Roman"/>
          <w:snapToGrid/>
          <w:kern w:val="21"/>
          <w:sz w:val="32"/>
          <w:szCs w:val="32"/>
          <w:lang w:eastAsia="zh-CN"/>
        </w:rPr>
      </w:pPr>
      <w:r>
        <w:rPr>
          <w:rFonts w:hint="eastAsia" w:ascii="Times New Roman" w:hAnsi="Times New Roman" w:eastAsia="仿宋_GB2312" w:cs="Times New Roman"/>
          <w:snapToGrid/>
          <w:kern w:val="21"/>
          <w:sz w:val="32"/>
          <w:szCs w:val="32"/>
          <w:lang w:val="en-US" w:eastAsia="zh-CN"/>
        </w:rPr>
        <w:t>10.</w:t>
      </w:r>
      <w:r>
        <w:rPr>
          <w:rFonts w:hint="eastAsia" w:ascii="Times New Roman" w:hAnsi="Times New Roman" w:eastAsia="仿宋_GB2312" w:cs="Times New Roman"/>
          <w:snapToGrid/>
          <w:kern w:val="21"/>
          <w:sz w:val="32"/>
          <w:szCs w:val="32"/>
          <w:lang w:eastAsia="zh-CN"/>
        </w:rPr>
        <w:t>住房保障支出（</w:t>
      </w:r>
      <w:r>
        <w:rPr>
          <w:rFonts w:hint="eastAsia" w:ascii="Times New Roman" w:hAnsi="Times New Roman" w:eastAsia="仿宋_GB2312" w:cs="Times New Roman"/>
          <w:snapToGrid/>
          <w:kern w:val="21"/>
          <w:sz w:val="32"/>
          <w:szCs w:val="32"/>
          <w:lang w:val="en-US" w:eastAsia="zh-CN"/>
        </w:rPr>
        <w:t>类）</w:t>
      </w:r>
      <w:r>
        <w:rPr>
          <w:rFonts w:hint="eastAsia" w:ascii="Times New Roman" w:hAnsi="Times New Roman" w:eastAsia="仿宋_GB2312" w:cs="Times New Roman"/>
          <w:snapToGrid/>
          <w:kern w:val="21"/>
          <w:sz w:val="32"/>
          <w:szCs w:val="32"/>
          <w:lang w:eastAsia="zh-CN"/>
        </w:rPr>
        <w:t>住房改革支出（</w:t>
      </w:r>
      <w:r>
        <w:rPr>
          <w:rFonts w:hint="eastAsia" w:ascii="Times New Roman" w:hAnsi="Times New Roman" w:eastAsia="仿宋_GB2312" w:cs="Times New Roman"/>
          <w:snapToGrid/>
          <w:kern w:val="21"/>
          <w:sz w:val="32"/>
          <w:szCs w:val="32"/>
          <w:lang w:val="en-US" w:eastAsia="zh-CN"/>
        </w:rPr>
        <w:t>款）</w:t>
      </w:r>
      <w:r>
        <w:rPr>
          <w:rFonts w:hint="eastAsia" w:ascii="Times New Roman" w:hAnsi="Times New Roman" w:eastAsia="仿宋_GB2312" w:cs="Times New Roman"/>
          <w:snapToGrid/>
          <w:kern w:val="21"/>
          <w:sz w:val="32"/>
          <w:szCs w:val="32"/>
          <w:lang w:eastAsia="zh-CN"/>
        </w:rPr>
        <w:t>住房公积金（</w:t>
      </w:r>
      <w:r>
        <w:rPr>
          <w:rFonts w:hint="eastAsia" w:ascii="Times New Roman" w:hAnsi="Times New Roman" w:eastAsia="仿宋_GB2312" w:cs="Times New Roman"/>
          <w:snapToGrid/>
          <w:kern w:val="21"/>
          <w:sz w:val="32"/>
          <w:szCs w:val="32"/>
          <w:lang w:val="en-US" w:eastAsia="zh-CN"/>
        </w:rPr>
        <w:t>项）</w:t>
      </w:r>
      <w:r>
        <w:rPr>
          <w:rFonts w:hint="eastAsia" w:ascii="Times New Roman" w:hAnsi="Times New Roman" w:eastAsia="仿宋_GB2312" w:cs="Times New Roman"/>
          <w:snapToGrid/>
          <w:kern w:val="21"/>
          <w:sz w:val="32"/>
          <w:szCs w:val="32"/>
          <w:lang w:eastAsia="zh-CN"/>
        </w:rPr>
        <w:t>：反映行政事业单位按人力资源和社会保障部、财政部规定的基本工资和津贴补贴以及规定比例为职工缴纳的住房公积金；</w:t>
      </w:r>
    </w:p>
    <w:p w14:paraId="778D9D58">
      <w:pPr>
        <w:ind w:firstLine="420" w:firstLineChars="200"/>
      </w:pPr>
    </w:p>
    <w:p w14:paraId="25C03AE4">
      <w:pPr>
        <w:pStyle w:val="2"/>
        <w:widowControl w:val="0"/>
        <w:kinsoku/>
        <w:overflowPunct w:val="0"/>
        <w:topLinePunct/>
        <w:autoSpaceDE/>
        <w:autoSpaceDN/>
        <w:spacing w:line="560" w:lineRule="exact"/>
        <w:ind w:firstLine="640" w:firstLineChars="200"/>
        <w:jc w:val="both"/>
        <w:rPr>
          <w:rFonts w:ascii="Times New Roman" w:hAnsi="Times New Roman" w:eastAsia="仿宋_GB2312" w:cs="Times New Roman"/>
          <w:snapToGrid/>
          <w:kern w:val="21"/>
          <w:sz w:val="32"/>
          <w:szCs w:val="32"/>
          <w:lang w:eastAsia="zh-CN"/>
        </w:rPr>
      </w:pPr>
      <w:r>
        <w:rPr>
          <w:rFonts w:ascii="Times New Roman" w:hAnsi="Times New Roman" w:eastAsia="仿宋_GB2312" w:cs="Times New Roman"/>
          <w:snapToGrid/>
          <w:kern w:val="21"/>
          <w:sz w:val="32"/>
          <w:szCs w:val="32"/>
          <w:lang w:eastAsia="zh-CN"/>
        </w:rPr>
        <w:t>三、相关专业名词</w:t>
      </w:r>
    </w:p>
    <w:p w14:paraId="20C81057">
      <w:pPr>
        <w:pStyle w:val="2"/>
        <w:widowControl w:val="0"/>
        <w:kinsoku/>
        <w:overflowPunct w:val="0"/>
        <w:topLinePunct/>
        <w:autoSpaceDE/>
        <w:autoSpaceDN/>
        <w:spacing w:line="560" w:lineRule="exact"/>
        <w:ind w:firstLine="640" w:firstLineChars="200"/>
        <w:jc w:val="both"/>
        <w:rPr>
          <w:rFonts w:ascii="Times New Roman" w:hAnsi="Times New Roman" w:eastAsia="仿宋_GB2312" w:cs="Times New Roman"/>
          <w:snapToGrid/>
          <w:kern w:val="21"/>
          <w:sz w:val="32"/>
          <w:szCs w:val="32"/>
          <w:lang w:eastAsia="zh-CN"/>
        </w:rPr>
      </w:pPr>
      <w:r>
        <w:rPr>
          <w:rFonts w:hint="eastAsia" w:ascii="楷体_GB2312" w:hAnsi="楷体_GB2312" w:eastAsia="楷体_GB2312" w:cs="楷体_GB2312"/>
          <w:snapToGrid/>
          <w:kern w:val="21"/>
          <w:sz w:val="32"/>
          <w:szCs w:val="32"/>
          <w:lang w:eastAsia="zh-CN"/>
        </w:rPr>
        <w:t>（一）机关运行费</w:t>
      </w:r>
      <w:r>
        <w:rPr>
          <w:rFonts w:ascii="Times New Roman" w:hAnsi="Times New Roman" w:eastAsia="仿宋_GB2312" w:cs="Times New Roman"/>
          <w:snapToGrid/>
          <w:kern w:val="21"/>
          <w:sz w:val="32"/>
          <w:szCs w:val="32"/>
          <w:lang w:eastAsia="zh-CN"/>
        </w:rPr>
        <w:t>：指用财政拨款安排的为保障行政单 位（含参照公务员法管理的事业单位）运行用于购买货物和 服务的各项资金，包括办公费、 印刷费、邮电费、差旅费、 会议费、福利费、日常维修费、专用材料及一般设备购置费、</w:t>
      </w:r>
      <w:r>
        <w:t xml:space="preserve"> </w:t>
      </w:r>
      <w:r>
        <w:rPr>
          <w:spacing w:val="9"/>
        </w:rPr>
        <w:t>办公用房水电费、办公用房取暖</w:t>
      </w:r>
      <w:r>
        <w:rPr>
          <w:rFonts w:ascii="Times New Roman" w:hAnsi="Times New Roman" w:eastAsia="仿宋_GB2312" w:cs="Times New Roman"/>
          <w:snapToGrid/>
          <w:kern w:val="21"/>
          <w:sz w:val="32"/>
          <w:szCs w:val="32"/>
          <w:lang w:eastAsia="zh-CN"/>
        </w:rPr>
        <w:t>费、办公用房物业管理费、公务用车运行维护费以及其他费用。</w:t>
      </w:r>
    </w:p>
    <w:p w14:paraId="2F2703D2">
      <w:pPr>
        <w:pStyle w:val="2"/>
        <w:widowControl w:val="0"/>
        <w:kinsoku/>
        <w:overflowPunct w:val="0"/>
        <w:topLinePunct/>
        <w:autoSpaceDE/>
        <w:autoSpaceDN/>
        <w:spacing w:line="560" w:lineRule="exact"/>
        <w:ind w:firstLine="640" w:firstLineChars="200"/>
        <w:jc w:val="both"/>
        <w:rPr>
          <w:rFonts w:hint="eastAsia" w:ascii="Times New Roman" w:hAnsi="Times New Roman" w:eastAsia="仿宋_GB2312" w:cs="Times New Roman"/>
          <w:snapToGrid/>
          <w:kern w:val="21"/>
          <w:sz w:val="32"/>
          <w:szCs w:val="32"/>
          <w:lang w:eastAsia="zh-CN"/>
        </w:rPr>
      </w:pPr>
      <w:r>
        <w:rPr>
          <w:rFonts w:hint="eastAsia" w:ascii="楷体_GB2312" w:hAnsi="楷体_GB2312" w:eastAsia="楷体_GB2312" w:cs="楷体_GB2312"/>
          <w:snapToGrid/>
          <w:kern w:val="21"/>
          <w:sz w:val="32"/>
          <w:szCs w:val="32"/>
          <w:lang w:eastAsia="zh-CN"/>
        </w:rPr>
        <w:t>（二）“三公”经费</w:t>
      </w:r>
      <w:r>
        <w:rPr>
          <w:rFonts w:ascii="Times New Roman" w:hAnsi="Times New Roman" w:eastAsia="仿宋_GB2312" w:cs="Times New Roman"/>
          <w:snapToGrid/>
          <w:kern w:val="21"/>
          <w:sz w:val="32"/>
          <w:szCs w:val="32"/>
          <w:lang w:eastAsia="zh-CN"/>
        </w:rPr>
        <w:t>：指用财政拨款安排的因公出国（境） 费、公务用车购置及运行维护费和公务接待费。其中，因公  出国（境）费反映单位公务出国（境）的国际旅费、国外城  市间交通费、住宿费、伙食费、培训费、公杂费等支出；公务用车购置及运行维护费反映单位公务用车车辆购置支</w:t>
      </w:r>
      <w:r>
        <w:rPr>
          <w:rFonts w:hint="eastAsia" w:ascii="Times New Roman" w:hAnsi="Times New Roman" w:eastAsia="仿宋_GB2312" w:cs="Times New Roman"/>
          <w:snapToGrid/>
          <w:kern w:val="21"/>
          <w:sz w:val="32"/>
          <w:szCs w:val="32"/>
          <w:lang w:eastAsia="zh-CN"/>
        </w:rPr>
        <w:t>出（含车辆购置税、牌照费），按规定保留的公务用车燃料费、维修费、过桥过路费、保险费、安全奖励费 用等支出；公务接待费反映单位按规定开支的各类公务接待（含外宾接待）支出。</w:t>
      </w:r>
    </w:p>
    <w:p w14:paraId="7D18DB87">
      <w:pPr>
        <w:pStyle w:val="2"/>
        <w:widowControl w:val="0"/>
        <w:kinsoku/>
        <w:overflowPunct w:val="0"/>
        <w:topLinePunct/>
        <w:autoSpaceDE/>
        <w:autoSpaceDN/>
        <w:spacing w:line="560" w:lineRule="exact"/>
        <w:ind w:firstLine="640" w:firstLineChars="200"/>
        <w:jc w:val="both"/>
        <w:rPr>
          <w:rFonts w:hint="eastAsia" w:ascii="楷体_GB2312" w:hAnsi="楷体_GB2312" w:eastAsia="楷体_GB2312" w:cs="楷体_GB2312"/>
          <w:snapToGrid/>
          <w:kern w:val="21"/>
          <w:sz w:val="32"/>
          <w:szCs w:val="32"/>
          <w:lang w:eastAsia="zh-CN"/>
        </w:rPr>
      </w:pPr>
      <w:r>
        <w:rPr>
          <w:rFonts w:hint="eastAsia" w:ascii="楷体_GB2312" w:hAnsi="楷体_GB2312" w:eastAsia="楷体_GB2312" w:cs="楷体_GB2312"/>
          <w:snapToGrid/>
          <w:kern w:val="21"/>
          <w:sz w:val="32"/>
          <w:szCs w:val="32"/>
          <w:lang w:eastAsia="zh-CN"/>
        </w:rPr>
        <w:t>（三）基本支出：</w:t>
      </w:r>
      <w:r>
        <w:rPr>
          <w:rFonts w:ascii="Times New Roman" w:hAnsi="Times New Roman" w:eastAsia="仿宋_GB2312" w:cs="Times New Roman"/>
          <w:snapToGrid/>
          <w:kern w:val="21"/>
          <w:sz w:val="32"/>
          <w:szCs w:val="32"/>
          <w:lang w:eastAsia="zh-CN"/>
        </w:rPr>
        <w:t>指为保障机构正常运转、完成日常工作任务而发生的人员支出和公用支出。</w:t>
      </w:r>
    </w:p>
    <w:p w14:paraId="15A6F275">
      <w:pPr>
        <w:pStyle w:val="2"/>
        <w:widowControl w:val="0"/>
        <w:kinsoku/>
        <w:overflowPunct w:val="0"/>
        <w:topLinePunct/>
        <w:autoSpaceDE/>
        <w:autoSpaceDN/>
        <w:spacing w:line="560" w:lineRule="exact"/>
        <w:ind w:firstLine="640" w:firstLineChars="200"/>
        <w:jc w:val="both"/>
        <w:rPr>
          <w:rFonts w:ascii="Times New Roman" w:hAnsi="Times New Roman" w:eastAsia="仿宋_GB2312" w:cs="Times New Roman"/>
          <w:snapToGrid/>
          <w:kern w:val="21"/>
          <w:sz w:val="32"/>
          <w:szCs w:val="32"/>
          <w:lang w:eastAsia="zh-CN"/>
        </w:rPr>
      </w:pPr>
      <w:r>
        <w:rPr>
          <w:rFonts w:hint="eastAsia" w:ascii="楷体_GB2312" w:hAnsi="楷体_GB2312" w:eastAsia="楷体_GB2312" w:cs="楷体_GB2312"/>
          <w:snapToGrid/>
          <w:kern w:val="21"/>
          <w:sz w:val="32"/>
          <w:szCs w:val="32"/>
          <w:lang w:eastAsia="zh-CN"/>
        </w:rPr>
        <w:t>（四）项目支出：</w:t>
      </w:r>
      <w:r>
        <w:rPr>
          <w:rFonts w:ascii="Times New Roman" w:hAnsi="Times New Roman" w:eastAsia="仿宋_GB2312" w:cs="Times New Roman"/>
          <w:snapToGrid/>
          <w:kern w:val="21"/>
          <w:sz w:val="32"/>
          <w:szCs w:val="32"/>
          <w:lang w:eastAsia="zh-CN"/>
        </w:rPr>
        <w:t>指在基本支出之外为完成特定行政任务或事业发展目标所发生的支出。</w:t>
      </w:r>
    </w:p>
    <w:p w14:paraId="018A0B4E">
      <w:pPr>
        <w:widowControl w:val="0"/>
        <w:kinsoku/>
        <w:overflowPunct w:val="0"/>
        <w:topLinePunct/>
        <w:autoSpaceDE/>
        <w:autoSpaceDN/>
        <w:spacing w:line="560" w:lineRule="exact"/>
        <w:jc w:val="both"/>
        <w:rPr>
          <w:rFonts w:ascii="Times New Roman" w:hAnsi="Times New Roman" w:eastAsia="仿宋_GB2312" w:cs="Times New Roman"/>
          <w:snapToGrid/>
          <w:kern w:val="21"/>
          <w:sz w:val="32"/>
          <w:szCs w:val="32"/>
          <w:lang w:eastAsia="zh-CN"/>
        </w:rPr>
        <w:sectPr>
          <w:pgSz w:w="11900" w:h="16830"/>
          <w:pgMar w:top="1417" w:right="1417" w:bottom="1417" w:left="1417" w:header="0" w:footer="1361" w:gutter="0"/>
          <w:pgNumType w:fmt="numberInDash"/>
          <w:cols w:space="720" w:num="1"/>
        </w:sectPr>
      </w:pPr>
    </w:p>
    <w:p w14:paraId="13CB0228">
      <w:pPr>
        <w:spacing w:before="103" w:line="184" w:lineRule="auto"/>
        <w:ind w:left="85"/>
      </w:pPr>
      <w:r>
        <w:drawing>
          <wp:inline distT="0" distB="0" distL="114300" distR="114300">
            <wp:extent cx="9417685" cy="5772785"/>
            <wp:effectExtent l="0" t="0" r="12065" b="1841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6"/>
                    <a:stretch>
                      <a:fillRect/>
                    </a:stretch>
                  </pic:blipFill>
                  <pic:spPr>
                    <a:xfrm>
                      <a:off x="0" y="0"/>
                      <a:ext cx="9417685" cy="5772785"/>
                    </a:xfrm>
                    <a:prstGeom prst="rect">
                      <a:avLst/>
                    </a:prstGeom>
                    <a:noFill/>
                    <a:ln>
                      <a:noFill/>
                    </a:ln>
                  </pic:spPr>
                </pic:pic>
              </a:graphicData>
            </a:graphic>
          </wp:inline>
        </w:drawing>
      </w:r>
      <w:r>
        <w:drawing>
          <wp:inline distT="0" distB="0" distL="114300" distR="114300">
            <wp:extent cx="9408160" cy="5121910"/>
            <wp:effectExtent l="0" t="0" r="2540" b="254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7"/>
                    <a:stretch>
                      <a:fillRect/>
                    </a:stretch>
                  </pic:blipFill>
                  <pic:spPr>
                    <a:xfrm>
                      <a:off x="0" y="0"/>
                      <a:ext cx="9408160" cy="5121910"/>
                    </a:xfrm>
                    <a:prstGeom prst="rect">
                      <a:avLst/>
                    </a:prstGeom>
                    <a:noFill/>
                    <a:ln>
                      <a:noFill/>
                    </a:ln>
                  </pic:spPr>
                </pic:pic>
              </a:graphicData>
            </a:graphic>
          </wp:inline>
        </w:drawing>
      </w:r>
      <w:r>
        <w:drawing>
          <wp:inline distT="0" distB="0" distL="114300" distR="114300">
            <wp:extent cx="9422130" cy="6532245"/>
            <wp:effectExtent l="0" t="0" r="7620" b="1905"/>
            <wp:docPr id="7"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3"/>
                    <pic:cNvPicPr>
                      <a:picLocks noChangeAspect="1"/>
                    </pic:cNvPicPr>
                  </pic:nvPicPr>
                  <pic:blipFill>
                    <a:blip r:embed="rId8"/>
                    <a:stretch>
                      <a:fillRect/>
                    </a:stretch>
                  </pic:blipFill>
                  <pic:spPr>
                    <a:xfrm>
                      <a:off x="0" y="0"/>
                      <a:ext cx="9422130" cy="6532245"/>
                    </a:xfrm>
                    <a:prstGeom prst="rect">
                      <a:avLst/>
                    </a:prstGeom>
                    <a:noFill/>
                    <a:ln>
                      <a:noFill/>
                    </a:ln>
                  </pic:spPr>
                </pic:pic>
              </a:graphicData>
            </a:graphic>
          </wp:inline>
        </w:drawing>
      </w:r>
      <w:r>
        <w:drawing>
          <wp:inline distT="0" distB="0" distL="114300" distR="114300">
            <wp:extent cx="9417050" cy="2662555"/>
            <wp:effectExtent l="0" t="0" r="12700" b="4445"/>
            <wp:docPr id="9"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4"/>
                    <pic:cNvPicPr>
                      <a:picLocks noChangeAspect="1"/>
                    </pic:cNvPicPr>
                  </pic:nvPicPr>
                  <pic:blipFill>
                    <a:blip r:embed="rId9"/>
                    <a:stretch>
                      <a:fillRect/>
                    </a:stretch>
                  </pic:blipFill>
                  <pic:spPr>
                    <a:xfrm>
                      <a:off x="0" y="0"/>
                      <a:ext cx="9417050" cy="2662555"/>
                    </a:xfrm>
                    <a:prstGeom prst="rect">
                      <a:avLst/>
                    </a:prstGeom>
                    <a:noFill/>
                    <a:ln>
                      <a:noFill/>
                    </a:ln>
                  </pic:spPr>
                </pic:pic>
              </a:graphicData>
            </a:graphic>
          </wp:inline>
        </w:drawing>
      </w:r>
      <w:r>
        <w:drawing>
          <wp:inline distT="0" distB="0" distL="114300" distR="114300">
            <wp:extent cx="9415145" cy="6807200"/>
            <wp:effectExtent l="0" t="0" r="14605" b="12700"/>
            <wp:docPr id="10"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5"/>
                    <pic:cNvPicPr>
                      <a:picLocks noChangeAspect="1"/>
                    </pic:cNvPicPr>
                  </pic:nvPicPr>
                  <pic:blipFill>
                    <a:blip r:embed="rId10"/>
                    <a:stretch>
                      <a:fillRect/>
                    </a:stretch>
                  </pic:blipFill>
                  <pic:spPr>
                    <a:xfrm>
                      <a:off x="0" y="0"/>
                      <a:ext cx="9415145" cy="6807200"/>
                    </a:xfrm>
                    <a:prstGeom prst="rect">
                      <a:avLst/>
                    </a:prstGeom>
                    <a:noFill/>
                    <a:ln>
                      <a:noFill/>
                    </a:ln>
                  </pic:spPr>
                </pic:pic>
              </a:graphicData>
            </a:graphic>
          </wp:inline>
        </w:drawing>
      </w:r>
      <w:r>
        <w:drawing>
          <wp:inline distT="0" distB="0" distL="114300" distR="114300">
            <wp:extent cx="9418955" cy="6390640"/>
            <wp:effectExtent l="0" t="0" r="10795" b="10160"/>
            <wp:docPr id="19"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7"/>
                    <pic:cNvPicPr>
                      <a:picLocks noChangeAspect="1"/>
                    </pic:cNvPicPr>
                  </pic:nvPicPr>
                  <pic:blipFill>
                    <a:blip r:embed="rId11"/>
                    <a:stretch>
                      <a:fillRect/>
                    </a:stretch>
                  </pic:blipFill>
                  <pic:spPr>
                    <a:xfrm>
                      <a:off x="0" y="0"/>
                      <a:ext cx="9418955" cy="6390640"/>
                    </a:xfrm>
                    <a:prstGeom prst="rect">
                      <a:avLst/>
                    </a:prstGeom>
                    <a:noFill/>
                    <a:ln>
                      <a:noFill/>
                    </a:ln>
                  </pic:spPr>
                </pic:pic>
              </a:graphicData>
            </a:graphic>
          </wp:inline>
        </w:drawing>
      </w:r>
      <w:r>
        <w:drawing>
          <wp:inline distT="0" distB="0" distL="114300" distR="114300">
            <wp:extent cx="9417050" cy="1838960"/>
            <wp:effectExtent l="0" t="0" r="12700" b="8255"/>
            <wp:docPr id="20"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8"/>
                    <pic:cNvPicPr>
                      <a:picLocks noChangeAspect="1"/>
                    </pic:cNvPicPr>
                  </pic:nvPicPr>
                  <pic:blipFill>
                    <a:blip r:embed="rId12"/>
                    <a:stretch>
                      <a:fillRect/>
                    </a:stretch>
                  </pic:blipFill>
                  <pic:spPr>
                    <a:xfrm>
                      <a:off x="0" y="0"/>
                      <a:ext cx="9417050" cy="1838960"/>
                    </a:xfrm>
                    <a:prstGeom prst="rect">
                      <a:avLst/>
                    </a:prstGeom>
                    <a:noFill/>
                    <a:ln>
                      <a:noFill/>
                    </a:ln>
                  </pic:spPr>
                </pic:pic>
              </a:graphicData>
            </a:graphic>
          </wp:inline>
        </w:drawing>
      </w:r>
      <w:r>
        <w:drawing>
          <wp:inline distT="0" distB="0" distL="114300" distR="114300">
            <wp:extent cx="9424670" cy="1886585"/>
            <wp:effectExtent l="0" t="0" r="5080" b="18415"/>
            <wp:docPr id="21"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9"/>
                    <pic:cNvPicPr>
                      <a:picLocks noChangeAspect="1"/>
                    </pic:cNvPicPr>
                  </pic:nvPicPr>
                  <pic:blipFill>
                    <a:blip r:embed="rId13"/>
                    <a:stretch>
                      <a:fillRect/>
                    </a:stretch>
                  </pic:blipFill>
                  <pic:spPr>
                    <a:xfrm>
                      <a:off x="0" y="0"/>
                      <a:ext cx="9424670" cy="1886585"/>
                    </a:xfrm>
                    <a:prstGeom prst="rect">
                      <a:avLst/>
                    </a:prstGeom>
                    <a:noFill/>
                    <a:ln>
                      <a:noFill/>
                    </a:ln>
                  </pic:spPr>
                </pic:pic>
              </a:graphicData>
            </a:graphic>
          </wp:inline>
        </w:drawing>
      </w:r>
      <w:r>
        <w:drawing>
          <wp:inline distT="0" distB="0" distL="114300" distR="114300">
            <wp:extent cx="9424670" cy="2026285"/>
            <wp:effectExtent l="0" t="0" r="5080" b="12065"/>
            <wp:docPr id="22"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10"/>
                    <pic:cNvPicPr>
                      <a:picLocks noChangeAspect="1"/>
                    </pic:cNvPicPr>
                  </pic:nvPicPr>
                  <pic:blipFill>
                    <a:blip r:embed="rId14"/>
                    <a:stretch>
                      <a:fillRect/>
                    </a:stretch>
                  </pic:blipFill>
                  <pic:spPr>
                    <a:xfrm>
                      <a:off x="0" y="0"/>
                      <a:ext cx="9424670" cy="2026285"/>
                    </a:xfrm>
                    <a:prstGeom prst="rect">
                      <a:avLst/>
                    </a:prstGeom>
                    <a:noFill/>
                    <a:ln>
                      <a:noFill/>
                    </a:ln>
                  </pic:spPr>
                </pic:pic>
              </a:graphicData>
            </a:graphic>
          </wp:inline>
        </w:drawing>
      </w:r>
    </w:p>
    <w:p w14:paraId="0E1147ED">
      <w:pPr>
        <w:spacing w:before="103" w:line="184" w:lineRule="auto"/>
        <w:ind w:left="85"/>
        <w:rPr>
          <w:rFonts w:ascii="宋体" w:hAnsi="宋体" w:eastAsia="宋体" w:cs="宋体"/>
          <w:sz w:val="22"/>
          <w:szCs w:val="22"/>
          <w:lang w:eastAsia="zh-CN"/>
        </w:rPr>
      </w:pPr>
      <w:r>
        <w:rPr>
          <w:rFonts w:ascii="宋体" w:hAnsi="宋体" w:eastAsia="宋体" w:cs="宋体"/>
          <w:sz w:val="22"/>
          <w:szCs w:val="22"/>
          <w:lang w:eastAsia="zh-CN"/>
        </w:rPr>
        <w:t>注：由于本表中数据四舍五入原因，部分汇总数据与分项加总之和可能存在尾差</w:t>
      </w:r>
      <w:r>
        <w:rPr>
          <w:rFonts w:hint="eastAsia" w:ascii="宋体" w:hAnsi="宋体" w:eastAsia="宋体" w:cs="宋体"/>
          <w:sz w:val="22"/>
          <w:szCs w:val="22"/>
          <w:lang w:eastAsia="zh-CN"/>
        </w:rPr>
        <w:t>（</w:t>
      </w:r>
      <w:r>
        <w:rPr>
          <w:rFonts w:ascii="宋体" w:hAnsi="宋体" w:eastAsia="宋体" w:cs="宋体"/>
          <w:sz w:val="22"/>
          <w:szCs w:val="22"/>
          <w:lang w:eastAsia="zh-CN"/>
        </w:rPr>
        <w:t>下同</w:t>
      </w:r>
      <w:r>
        <w:rPr>
          <w:rFonts w:hint="eastAsia" w:ascii="宋体" w:hAnsi="宋体" w:eastAsia="宋体" w:cs="宋体"/>
          <w:sz w:val="22"/>
          <w:szCs w:val="22"/>
          <w:lang w:eastAsia="zh-CN"/>
        </w:rPr>
        <w:t>）</w:t>
      </w:r>
      <w:r>
        <w:rPr>
          <w:rFonts w:ascii="宋体" w:hAnsi="宋体" w:eastAsia="宋体" w:cs="宋体"/>
          <w:sz w:val="22"/>
          <w:szCs w:val="22"/>
          <w:lang w:eastAsia="zh-CN"/>
        </w:rPr>
        <w:t>。</w:t>
      </w:r>
    </w:p>
    <w:p w14:paraId="61B34A34">
      <w:pPr>
        <w:spacing w:line="184" w:lineRule="auto"/>
        <w:rPr>
          <w:rFonts w:ascii="宋体" w:hAnsi="宋体" w:eastAsia="宋体" w:cs="宋体"/>
          <w:sz w:val="22"/>
          <w:szCs w:val="22"/>
          <w:lang w:eastAsia="zh-CN"/>
        </w:rPr>
        <w:sectPr>
          <w:type w:val="continuous"/>
          <w:pgSz w:w="16830" w:h="11900"/>
          <w:pgMar w:top="1006" w:right="1104" w:bottom="400" w:left="884" w:header="0" w:footer="0" w:gutter="0"/>
          <w:pgNumType w:fmt="numberInDash"/>
          <w:cols w:equalWidth="0" w:num="1">
            <w:col w:w="14841"/>
          </w:cols>
        </w:sectPr>
      </w:pPr>
    </w:p>
    <w:p w14:paraId="4323AF65">
      <w:pPr>
        <w:keepNext w:val="0"/>
        <w:keepLines w:val="0"/>
        <w:pageBreakBefore w:val="0"/>
        <w:widowControl/>
        <w:kinsoku w:val="0"/>
        <w:wordWrap/>
        <w:overflowPunct/>
        <w:topLinePunct w:val="0"/>
        <w:autoSpaceDE w:val="0"/>
        <w:autoSpaceDN w:val="0"/>
        <w:bidi w:val="0"/>
        <w:adjustRightInd w:val="0"/>
        <w:snapToGrid w:val="0"/>
        <w:spacing w:line="240" w:lineRule="auto"/>
        <w:textAlignment w:val="baseline"/>
        <w:rPr>
          <w:lang w:eastAsia="zh-CN"/>
        </w:rPr>
      </w:pPr>
      <w:r>
        <w:drawing>
          <wp:inline distT="0" distB="0" distL="114300" distR="114300">
            <wp:extent cx="6384925" cy="7931150"/>
            <wp:effectExtent l="0" t="0" r="15875" b="12700"/>
            <wp:docPr id="17"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5"/>
                    <pic:cNvPicPr>
                      <a:picLocks noChangeAspect="1"/>
                    </pic:cNvPicPr>
                  </pic:nvPicPr>
                  <pic:blipFill>
                    <a:blip r:embed="rId15"/>
                    <a:stretch>
                      <a:fillRect/>
                    </a:stretch>
                  </pic:blipFill>
                  <pic:spPr>
                    <a:xfrm>
                      <a:off x="0" y="0"/>
                      <a:ext cx="6384925" cy="7931150"/>
                    </a:xfrm>
                    <a:prstGeom prst="rect">
                      <a:avLst/>
                    </a:prstGeom>
                    <a:noFill/>
                    <a:ln>
                      <a:noFill/>
                    </a:ln>
                  </pic:spPr>
                </pic:pic>
              </a:graphicData>
            </a:graphic>
          </wp:inline>
        </w:drawing>
      </w:r>
    </w:p>
    <w:sectPr>
      <w:footerReference r:id="rId4" w:type="default"/>
      <w:pgSz w:w="11900" w:h="16830"/>
      <w:pgMar w:top="1417" w:right="1417" w:bottom="1417" w:left="1417" w:header="0" w:footer="1105" w:gutter="0"/>
      <w:pgNumType w:fmt="numberInDash"/>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方正小标宋简体">
    <w:altName w:val="方正舒体"/>
    <w:panose1 w:val="00000000000000000000"/>
    <w:charset w:val="86"/>
    <w:family w:val="script"/>
    <w:pitch w:val="default"/>
    <w:sig w:usb0="00000000" w:usb1="00000000" w:usb2="00000000" w:usb3="00000000" w:csb0="00040000" w:csb1="00000000"/>
  </w:font>
  <w:font w:name="方正舒体">
    <w:panose1 w:val="02010601030101010101"/>
    <w:charset w:val="86"/>
    <w:family w:val="auto"/>
    <w:pitch w:val="default"/>
    <w:sig w:usb0="00000003" w:usb1="080E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D4071C">
    <w:pPr>
      <w:spacing w:line="14" w:lineRule="auto"/>
      <w:rPr>
        <w:sz w:val="2"/>
      </w:rPr>
    </w:pPr>
    <w:r>
      <w:rPr>
        <w:sz w:val="2"/>
        <w:lang w:eastAsia="zh-CN"/>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F7DFA89">
                          <w:pPr>
                            <w:pStyle w:val="4"/>
                          </w:pPr>
                          <w:r>
                            <w:rPr>
                              <w:rFonts w:ascii="Times New Roman" w:hAnsi="Times New Roman" w:cs="Times New Roman"/>
                              <w:sz w:val="28"/>
                              <w:szCs w:val="28"/>
                            </w:rPr>
                            <w:fldChar w:fldCharType="begin"/>
                          </w:r>
                          <w:r>
                            <w:rPr>
                              <w:rFonts w:ascii="Times New Roman" w:hAnsi="Times New Roman" w:cs="Times New Roman"/>
                              <w:sz w:val="28"/>
                              <w:szCs w:val="28"/>
                            </w:rPr>
                            <w:instrText xml:space="preserve"> PAGE  \* MERGEFORMAT </w:instrText>
                          </w:r>
                          <w:r>
                            <w:rPr>
                              <w:rFonts w:ascii="Times New Roman" w:hAnsi="Times New Roman" w:cs="Times New Roman"/>
                              <w:sz w:val="28"/>
                              <w:szCs w:val="28"/>
                            </w:rPr>
                            <w:fldChar w:fldCharType="separate"/>
                          </w:r>
                          <w:r>
                            <w:rPr>
                              <w:rFonts w:ascii="Times New Roman" w:hAnsi="Times New Roman" w:cs="Times New Roman"/>
                              <w:sz w:val="28"/>
                              <w:szCs w:val="28"/>
                            </w:rPr>
                            <w:t>- 1 -</w:t>
                          </w:r>
                          <w:r>
                            <w:rPr>
                              <w:rFonts w:ascii="Times New Roman" w:hAnsi="Times New Roman" w:cs="Times New Roman"/>
                              <w:sz w:val="28"/>
                              <w:szCs w:val="28"/>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0O3bcsAgAAV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vQ7dtywCAABVBAAADgAAAAAAAAABACAAAAAfAQAAZHJzL2Uyb0RvYy54bWxQSwUGAAAAAAYA&#10;BgBZAQAAvQUAAAAA&#10;">
              <v:fill on="f" focussize="0,0"/>
              <v:stroke on="f" weight="0.5pt"/>
              <v:imagedata o:title=""/>
              <o:lock v:ext="edit" aspectratio="f"/>
              <v:textbox inset="0mm,0mm,0mm,0mm" style="mso-fit-shape-to-text:t;">
                <w:txbxContent>
                  <w:p w14:paraId="2F7DFA89">
                    <w:pPr>
                      <w:pStyle w:val="4"/>
                    </w:pPr>
                    <w:r>
                      <w:rPr>
                        <w:rFonts w:ascii="Times New Roman" w:hAnsi="Times New Roman" w:cs="Times New Roman"/>
                        <w:sz w:val="28"/>
                        <w:szCs w:val="28"/>
                      </w:rPr>
                      <w:fldChar w:fldCharType="begin"/>
                    </w:r>
                    <w:r>
                      <w:rPr>
                        <w:rFonts w:ascii="Times New Roman" w:hAnsi="Times New Roman" w:cs="Times New Roman"/>
                        <w:sz w:val="28"/>
                        <w:szCs w:val="28"/>
                      </w:rPr>
                      <w:instrText xml:space="preserve"> PAGE  \* MERGEFORMAT </w:instrText>
                    </w:r>
                    <w:r>
                      <w:rPr>
                        <w:rFonts w:ascii="Times New Roman" w:hAnsi="Times New Roman" w:cs="Times New Roman"/>
                        <w:sz w:val="28"/>
                        <w:szCs w:val="28"/>
                      </w:rPr>
                      <w:fldChar w:fldCharType="separate"/>
                    </w:r>
                    <w:r>
                      <w:rPr>
                        <w:rFonts w:ascii="Times New Roman" w:hAnsi="Times New Roman" w:cs="Times New Roman"/>
                        <w:sz w:val="28"/>
                        <w:szCs w:val="28"/>
                      </w:rPr>
                      <w:t>- 1 -</w:t>
                    </w:r>
                    <w:r>
                      <w:rPr>
                        <w:rFonts w:ascii="Times New Roman" w:hAnsi="Times New Roman" w:cs="Times New Roman"/>
                        <w:sz w:val="28"/>
                        <w:szCs w:val="28"/>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FE2D45">
    <w:pPr>
      <w:spacing w:line="210" w:lineRule="auto"/>
      <w:ind w:left="4207"/>
      <w:rPr>
        <w:rFonts w:ascii="宋体" w:hAnsi="宋体" w:eastAsia="宋体" w:cs="宋体"/>
      </w:rPr>
    </w:pPr>
    <w:r>
      <w:rPr>
        <w:lang w:eastAsia="zh-CN"/>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FEDF8E3">
                          <w:pPr>
                            <w:pStyle w:val="4"/>
                          </w:pPr>
                          <w:r>
                            <w:rPr>
                              <w:rFonts w:ascii="Times New Roman" w:hAnsi="Times New Roman" w:cs="Times New Roman"/>
                              <w:sz w:val="28"/>
                              <w:szCs w:val="28"/>
                            </w:rPr>
                            <w:fldChar w:fldCharType="begin"/>
                          </w:r>
                          <w:r>
                            <w:rPr>
                              <w:rFonts w:ascii="Times New Roman" w:hAnsi="Times New Roman" w:cs="Times New Roman"/>
                              <w:sz w:val="28"/>
                              <w:szCs w:val="28"/>
                            </w:rPr>
                            <w:instrText xml:space="preserve"> PAGE  \* MERGEFORMAT </w:instrText>
                          </w:r>
                          <w:r>
                            <w:rPr>
                              <w:rFonts w:ascii="Times New Roman" w:hAnsi="Times New Roman" w:cs="Times New Roman"/>
                              <w:sz w:val="28"/>
                              <w:szCs w:val="28"/>
                            </w:rPr>
                            <w:fldChar w:fldCharType="separate"/>
                          </w:r>
                          <w:r>
                            <w:rPr>
                              <w:rFonts w:ascii="Times New Roman" w:hAnsi="Times New Roman" w:cs="Times New Roman"/>
                              <w:sz w:val="28"/>
                              <w:szCs w:val="28"/>
                            </w:rPr>
                            <w:t>- 34 -</w:t>
                          </w:r>
                          <w:r>
                            <w:rPr>
                              <w:rFonts w:ascii="Times New Roman" w:hAnsi="Times New Roman" w:cs="Times New Roman"/>
                              <w:sz w:val="28"/>
                              <w:szCs w:val="28"/>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cMibgsAgAAV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FwyJuCwCAABVBAAADgAAAAAAAAABACAAAAAfAQAAZHJzL2Uyb0RvYy54bWxQSwUGAAAAAAYA&#10;BgBZAQAAvQUAAAAA&#10;">
              <v:fill on="f" focussize="0,0"/>
              <v:stroke on="f" weight="0.5pt"/>
              <v:imagedata o:title=""/>
              <o:lock v:ext="edit" aspectratio="f"/>
              <v:textbox inset="0mm,0mm,0mm,0mm" style="mso-fit-shape-to-text:t;">
                <w:txbxContent>
                  <w:p w14:paraId="4FEDF8E3">
                    <w:pPr>
                      <w:pStyle w:val="4"/>
                    </w:pPr>
                    <w:r>
                      <w:rPr>
                        <w:rFonts w:ascii="Times New Roman" w:hAnsi="Times New Roman" w:cs="Times New Roman"/>
                        <w:sz w:val="28"/>
                        <w:szCs w:val="28"/>
                      </w:rPr>
                      <w:fldChar w:fldCharType="begin"/>
                    </w:r>
                    <w:r>
                      <w:rPr>
                        <w:rFonts w:ascii="Times New Roman" w:hAnsi="Times New Roman" w:cs="Times New Roman"/>
                        <w:sz w:val="28"/>
                        <w:szCs w:val="28"/>
                      </w:rPr>
                      <w:instrText xml:space="preserve"> PAGE  \* MERGEFORMAT </w:instrText>
                    </w:r>
                    <w:r>
                      <w:rPr>
                        <w:rFonts w:ascii="Times New Roman" w:hAnsi="Times New Roman" w:cs="Times New Roman"/>
                        <w:sz w:val="28"/>
                        <w:szCs w:val="28"/>
                      </w:rPr>
                      <w:fldChar w:fldCharType="separate"/>
                    </w:r>
                    <w:r>
                      <w:rPr>
                        <w:rFonts w:ascii="Times New Roman" w:hAnsi="Times New Roman" w:cs="Times New Roman"/>
                        <w:sz w:val="28"/>
                        <w:szCs w:val="28"/>
                      </w:rPr>
                      <w:t>- 34 -</w:t>
                    </w:r>
                    <w:r>
                      <w:rPr>
                        <w:rFonts w:ascii="Times New Roman" w:hAnsi="Times New Roman" w:cs="Times New Roman"/>
                        <w:sz w:val="28"/>
                        <w:szCs w:val="28"/>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1"/>
  <w:bordersDoNotSurroundFooter w:val="1"/>
  <w:documentProtection w:enforcement="0"/>
  <w:defaultTabStop w:val="420"/>
  <w:characterSpacingControl w:val="doNotCompress"/>
  <w:compat>
    <w:spaceForUL/>
    <w:ulTrailSpace/>
    <w:useFELayout/>
    <w:compatSetting w:name="compatibilityMode" w:uri="http://schemas.microsoft.com/office/word" w:val="14"/>
  </w:compat>
  <w:docVars>
    <w:docVar w:name="commondata" w:val="eyJoZGlkIjoiOGIzMWUxOTIyZWFmMGYxZTNiOThmYzFlNTVjODJkNDAifQ=="/>
    <w:docVar w:name="KSO_WPS_MARK_KEY" w:val="04b21f6d-6d10-4b41-bd6b-e5942d1cd47c"/>
  </w:docVars>
  <w:rsids>
    <w:rsidRoot w:val="00126C90"/>
    <w:rsid w:val="000A403D"/>
    <w:rsid w:val="000E4EDC"/>
    <w:rsid w:val="00126C90"/>
    <w:rsid w:val="001B40E4"/>
    <w:rsid w:val="003356E5"/>
    <w:rsid w:val="00497AC3"/>
    <w:rsid w:val="00506EA8"/>
    <w:rsid w:val="00711C4C"/>
    <w:rsid w:val="00750511"/>
    <w:rsid w:val="0075737A"/>
    <w:rsid w:val="007E7B5F"/>
    <w:rsid w:val="00977879"/>
    <w:rsid w:val="009D353B"/>
    <w:rsid w:val="00B83570"/>
    <w:rsid w:val="00B95A75"/>
    <w:rsid w:val="00C76885"/>
    <w:rsid w:val="00C94ABC"/>
    <w:rsid w:val="00FE22DA"/>
    <w:rsid w:val="17F32881"/>
    <w:rsid w:val="23C05666"/>
    <w:rsid w:val="26C22705"/>
    <w:rsid w:val="27042C18"/>
    <w:rsid w:val="4DD046D8"/>
    <w:rsid w:val="616C60F7"/>
    <w:rsid w:val="653C57E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Theme="minorEastAsia" w:cs="Arial"/>
      </w:rPr>
    </w:rPrDefault>
    <w:pPrDefault/>
  </w:docDefaults>
  <w:latentStyles w:count="260" w:defQFormat="0" w:defUnhideWhenUsed="1" w:defSemiHidden="1" w:defUIPriority="99" w:defLockedState="0">
    <w:lsdException w:qFormat="1" w:unhideWhenUsed="0" w:uiPriority="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qFormat="1" w:uiPriority="99" w:semiHidden="0"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semiHidden/>
    <w:qFormat/>
    <w:uiPriority w:val="0"/>
    <w:pPr>
      <w:kinsoku w:val="0"/>
      <w:autoSpaceDE w:val="0"/>
      <w:autoSpaceDN w:val="0"/>
      <w:adjustRightInd w:val="0"/>
      <w:snapToGrid w:val="0"/>
      <w:textAlignment w:val="baseline"/>
    </w:pPr>
    <w:rPr>
      <w:rFonts w:ascii="Arial" w:hAnsi="Arial" w:cs="Arial" w:eastAsiaTheme="minorEastAsia"/>
      <w:snapToGrid w:val="0"/>
      <w:color w:val="000000"/>
      <w:sz w:val="21"/>
      <w:szCs w:val="21"/>
      <w:lang w:val="en-US" w:eastAsia="en-US" w:bidi="ar-SA"/>
    </w:rPr>
  </w:style>
  <w:style w:type="character" w:default="1" w:styleId="8">
    <w:name w:val="Default Paragraph Font"/>
    <w:autoRedefine/>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Body Text"/>
    <w:basedOn w:val="1"/>
    <w:semiHidden/>
    <w:qFormat/>
    <w:uiPriority w:val="0"/>
    <w:rPr>
      <w:rFonts w:ascii="仿宋" w:hAnsi="仿宋" w:eastAsia="仿宋" w:cs="仿宋"/>
      <w:sz w:val="36"/>
      <w:szCs w:val="36"/>
    </w:rPr>
  </w:style>
  <w:style w:type="paragraph" w:styleId="3">
    <w:name w:val="Balloon Text"/>
    <w:basedOn w:val="1"/>
    <w:link w:val="11"/>
    <w:semiHidden/>
    <w:unhideWhenUsed/>
    <w:qFormat/>
    <w:uiPriority w:val="99"/>
    <w:rPr>
      <w:sz w:val="18"/>
      <w:szCs w:val="18"/>
    </w:rPr>
  </w:style>
  <w:style w:type="paragraph" w:styleId="4">
    <w:name w:val="footer"/>
    <w:basedOn w:val="1"/>
    <w:link w:val="13"/>
    <w:unhideWhenUsed/>
    <w:qFormat/>
    <w:uiPriority w:val="99"/>
    <w:pPr>
      <w:tabs>
        <w:tab w:val="center" w:pos="4153"/>
        <w:tab w:val="right" w:pos="8306"/>
      </w:tabs>
    </w:pPr>
    <w:rPr>
      <w:sz w:val="18"/>
      <w:szCs w:val="18"/>
    </w:rPr>
  </w:style>
  <w:style w:type="paragraph" w:styleId="5">
    <w:name w:val="header"/>
    <w:basedOn w:val="1"/>
    <w:link w:val="12"/>
    <w:autoRedefine/>
    <w:unhideWhenUsed/>
    <w:qFormat/>
    <w:uiPriority w:val="99"/>
    <w:pPr>
      <w:pBdr>
        <w:bottom w:val="single" w:color="auto" w:sz="6" w:space="1"/>
      </w:pBdr>
      <w:tabs>
        <w:tab w:val="center" w:pos="4153"/>
        <w:tab w:val="right" w:pos="8306"/>
      </w:tabs>
      <w:jc w:val="center"/>
    </w:pPr>
    <w:rPr>
      <w:sz w:val="18"/>
      <w:szCs w:val="18"/>
    </w:rPr>
  </w:style>
  <w:style w:type="paragraph" w:styleId="6">
    <w:name w:val="List"/>
    <w:basedOn w:val="1"/>
    <w:unhideWhenUsed/>
    <w:qFormat/>
    <w:uiPriority w:val="99"/>
    <w:pPr>
      <w:ind w:left="200" w:hanging="200" w:hangingChars="200"/>
      <w:contextualSpacing/>
    </w:pPr>
    <w:rPr>
      <w:rFonts w:ascii="Calibri" w:hAnsi="Calibri"/>
      <w:szCs w:val="22"/>
    </w:rPr>
  </w:style>
  <w:style w:type="table" w:customStyle="1" w:styleId="9">
    <w:name w:val="Table Normal"/>
    <w:semiHidden/>
    <w:unhideWhenUsed/>
    <w:qFormat/>
    <w:uiPriority w:val="0"/>
    <w:tblPr>
      <w:tblCellMar>
        <w:top w:w="0" w:type="dxa"/>
        <w:left w:w="0" w:type="dxa"/>
        <w:bottom w:w="0" w:type="dxa"/>
        <w:right w:w="0" w:type="dxa"/>
      </w:tblCellMar>
    </w:tblPr>
  </w:style>
  <w:style w:type="paragraph" w:customStyle="1" w:styleId="10">
    <w:name w:val="Table Text"/>
    <w:basedOn w:val="1"/>
    <w:autoRedefine/>
    <w:semiHidden/>
    <w:qFormat/>
    <w:uiPriority w:val="0"/>
    <w:rPr>
      <w:rFonts w:eastAsia="Arial"/>
    </w:rPr>
  </w:style>
  <w:style w:type="character" w:customStyle="1" w:styleId="11">
    <w:name w:val="批注框文本 Char"/>
    <w:basedOn w:val="8"/>
    <w:link w:val="3"/>
    <w:semiHidden/>
    <w:qFormat/>
    <w:uiPriority w:val="99"/>
    <w:rPr>
      <w:sz w:val="18"/>
      <w:szCs w:val="18"/>
    </w:rPr>
  </w:style>
  <w:style w:type="character" w:customStyle="1" w:styleId="12">
    <w:name w:val="页眉 Char"/>
    <w:basedOn w:val="8"/>
    <w:link w:val="5"/>
    <w:autoRedefine/>
    <w:qFormat/>
    <w:uiPriority w:val="99"/>
    <w:rPr>
      <w:sz w:val="18"/>
      <w:szCs w:val="18"/>
    </w:rPr>
  </w:style>
  <w:style w:type="character" w:customStyle="1" w:styleId="13">
    <w:name w:val="页脚 Char"/>
    <w:basedOn w:val="8"/>
    <w:link w:val="4"/>
    <w:autoRedefine/>
    <w:qFormat/>
    <w:uiPriority w:val="99"/>
    <w:rPr>
      <w:sz w:val="18"/>
      <w:szCs w:val="18"/>
    </w:rPr>
  </w:style>
  <w:style w:type="paragraph" w:customStyle="1" w:styleId="14">
    <w:name w:val="p0"/>
    <w:basedOn w:val="1"/>
    <w:autoRedefine/>
    <w:qFormat/>
    <w:uiPriority w:val="0"/>
    <w:rPr>
      <w:rFonts w:ascii="Times New Roman" w:hAnsi="Times New Roman" w:eastAsia="宋体" w:cs="Times New Roman"/>
    </w:rPr>
  </w:style>
</w:styles>
</file>

<file path=word/_rels/document.xml.rels><?xml version="1.0" encoding="UTF-8" standalone="yes"?>
<Relationships xmlns="http://schemas.openxmlformats.org/package/2006/relationships"><Relationship Id="rId9" Type="http://schemas.openxmlformats.org/officeDocument/2006/relationships/image" Target="media/image4.emf"/><Relationship Id="rId8" Type="http://schemas.openxmlformats.org/officeDocument/2006/relationships/image" Target="media/image3.emf"/><Relationship Id="rId7" Type="http://schemas.openxmlformats.org/officeDocument/2006/relationships/image" Target="media/image2.emf"/><Relationship Id="rId6" Type="http://schemas.openxmlformats.org/officeDocument/2006/relationships/image" Target="media/image1.emf"/><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customXml" Target="../customXml/item1.xml"/><Relationship Id="rId15" Type="http://schemas.openxmlformats.org/officeDocument/2006/relationships/image" Target="media/image10.emf"/><Relationship Id="rId14" Type="http://schemas.openxmlformats.org/officeDocument/2006/relationships/image" Target="media/image9.emf"/><Relationship Id="rId13" Type="http://schemas.openxmlformats.org/officeDocument/2006/relationships/image" Target="media/image8.emf"/><Relationship Id="rId12" Type="http://schemas.openxmlformats.org/officeDocument/2006/relationships/image" Target="media/image7.emf"/><Relationship Id="rId11" Type="http://schemas.openxmlformats.org/officeDocument/2006/relationships/image" Target="media/image6.emf"/><Relationship Id="rId10" Type="http://schemas.openxmlformats.org/officeDocument/2006/relationships/image" Target="media/image5.emf"/><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17</Pages>
  <Words>4262</Words>
  <Characters>4570</Characters>
  <Lines>94</Lines>
  <Paragraphs>26</Paragraphs>
  <TotalTime>16</TotalTime>
  <ScaleCrop>false</ScaleCrop>
  <LinksUpToDate>false</LinksUpToDate>
  <CharactersWithSpaces>4598</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2024-02-26T07:20:00Z</dcterms:created>
  <dc:creator>Kingsoft-PDF</dc:creator>
  <cp:lastModifiedBy>Hani</cp:lastModifiedBy>
  <cp:lastPrinted>2024-02-01T03:57:00Z</cp:lastPrinted>
  <dcterms:modified xsi:type="dcterms:W3CDTF">2025-02-10T06:02:18Z</dcterms:modified>
  <dc:subject>pdfbuilder</dc:subject>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2024-01-30T10:53:58Z</vt:filetime>
  </property>
  <property fmtid="{D5CDD505-2E9C-101B-9397-08002B2CF9AE}" pid="4" name="UsrData">
    <vt:lpwstr>65b864bb80a245001f648a21wl</vt:lpwstr>
  </property>
  <property fmtid="{D5CDD505-2E9C-101B-9397-08002B2CF9AE}" pid="5" name="KSOProductBuildVer">
    <vt:lpwstr>2052-12.1.0.19770</vt:lpwstr>
  </property>
  <property fmtid="{D5CDD505-2E9C-101B-9397-08002B2CF9AE}" pid="6" name="ICV">
    <vt:lpwstr>848C7284AB6244FFACD33D80C6E9044D_13</vt:lpwstr>
  </property>
  <property fmtid="{D5CDD505-2E9C-101B-9397-08002B2CF9AE}" pid="7" name="KSOTemplateDocerSaveRecord">
    <vt:lpwstr>eyJoZGlkIjoiYWUxZWU2MmJmYjMyNWEzNTVmMWY4MjAyNjRlYTIwZjYiLCJ1c2VySWQiOiIxNDc3ODg1MTU3In0=</vt:lpwstr>
  </property>
</Properties>
</file>