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hd w:val="clear" w:color="auto" w:fill="FFFFFF"/>
        <w:adjustRightInd w:val="0"/>
        <w:snapToGrid w:val="0"/>
        <w:spacing w:before="0" w:beforeLines="0" w:beforeAutospacing="0" w:after="0" w:afterLines="0" w:afterAutospacing="0" w:line="600" w:lineRule="exact"/>
        <w:ind w:firstLine="0" w:firstLineChars="0"/>
        <w:jc w:val="both"/>
        <w:rPr>
          <w:rFonts w:hint="eastAsia" w:ascii="黑体" w:hAnsi="宋体" w:eastAsia="黑体" w:cs="黑体"/>
          <w:b w:val="0"/>
          <w:bCs w:val="0"/>
          <w:i w:val="0"/>
          <w:color w:val="000000"/>
          <w:sz w:val="32"/>
          <w:szCs w:val="32"/>
          <w:highlight w:val="none"/>
          <w:u w:val="none"/>
          <w:lang w:eastAsia="zh-CN"/>
        </w:rPr>
      </w:pPr>
      <w:r>
        <w:rPr>
          <w:rFonts w:hint="eastAsia" w:ascii="黑体" w:hAnsi="宋体" w:eastAsia="黑体" w:cs="黑体"/>
          <w:b w:val="0"/>
          <w:bCs w:val="0"/>
          <w:i w:val="0"/>
          <w:color w:val="000000"/>
          <w:sz w:val="32"/>
          <w:szCs w:val="32"/>
          <w:highlight w:val="none"/>
          <w:u w:val="none"/>
          <w:lang w:eastAsia="zh-CN"/>
        </w:rPr>
        <w:t>附件</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p>
    <w:p>
      <w:pPr>
        <w:pStyle w:val="6"/>
        <w:shd w:val="clear" w:color="auto" w:fill="FFFFFF"/>
        <w:adjustRightInd w:val="0"/>
        <w:snapToGrid w:val="0"/>
        <w:spacing w:before="0" w:beforeLines="0" w:beforeAutospacing="0" w:after="0" w:afterLines="0" w:afterAutospacing="0" w:line="600" w:lineRule="exact"/>
        <w:ind w:firstLine="0" w:firstLineChars="0"/>
        <w:jc w:val="center"/>
        <w:rPr>
          <w:rFonts w:hint="eastAsia" w:ascii="方正小标宋简体" w:hAnsi="方正小标宋简体" w:eastAsia="方正小标宋简体" w:cs="方正小标宋简体"/>
          <w:b w:val="0"/>
          <w:bCs w:val="0"/>
          <w:i w:val="0"/>
          <w:color w:val="000000"/>
          <w:sz w:val="44"/>
          <w:szCs w:val="44"/>
          <w:highlight w:val="none"/>
          <w:u w:val="none"/>
          <w:lang w:eastAsia="zh-CN"/>
        </w:rPr>
      </w:pPr>
      <w:r>
        <w:rPr>
          <w:rFonts w:hint="eastAsia" w:ascii="方正小标宋简体" w:hAnsi="方正小标宋简体" w:eastAsia="方正小标宋简体" w:cs="方正小标宋简体"/>
          <w:b w:val="0"/>
          <w:bCs w:val="0"/>
          <w:i w:val="0"/>
          <w:color w:val="000000"/>
          <w:sz w:val="44"/>
          <w:szCs w:val="44"/>
          <w:highlight w:val="none"/>
          <w:u w:val="none"/>
          <w:lang w:eastAsia="zh-CN"/>
        </w:rPr>
        <w:t>江西省省级知识产权专项资金管理办法</w:t>
      </w:r>
    </w:p>
    <w:p>
      <w:pPr>
        <w:pStyle w:val="6"/>
        <w:shd w:val="clear" w:color="auto" w:fill="FFFFFF"/>
        <w:adjustRightInd w:val="0"/>
        <w:snapToGrid w:val="0"/>
        <w:spacing w:before="313" w:beforeLines="100" w:beforeAutospacing="0" w:after="313" w:afterLines="100" w:afterAutospacing="0" w:line="600" w:lineRule="exact"/>
        <w:ind w:firstLine="0" w:firstLineChars="0"/>
        <w:jc w:val="center"/>
        <w:rPr>
          <w:rFonts w:hint="eastAsia" w:ascii="黑体" w:hAnsi="黑体" w:eastAsia="黑体" w:cs="黑体"/>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第一章 总  则</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第一条</w:t>
      </w:r>
      <w:r>
        <w:rPr>
          <w:rFonts w:hint="eastAsia" w:ascii="仿宋_GB2312" w:hAnsi="仿宋_GB2312" w:eastAsia="仿宋_GB2312" w:cs="仿宋_GB2312"/>
          <w:b w:val="0"/>
          <w:bCs w:val="0"/>
          <w:i w:val="0"/>
          <w:color w:val="000000"/>
          <w:sz w:val="32"/>
          <w:szCs w:val="32"/>
          <w:highlight w:val="none"/>
          <w:u w:val="none"/>
          <w:lang w:eastAsia="zh-CN"/>
        </w:rPr>
        <w:t xml:space="preserve">  为进一步加强省级知识产权专项资金管理，提高资金使用效益，根据《中华人民共和国预算法》《中华人民共和国预算法实施条例》《江西省人民政府关于印发&lt;江西省省级财政专项资金管理办法&gt;的通知》（赣府发〔2016〕35号）、《江西省财政厅关于规范省级财政专项资金分配管理的通知》（赣财预〔2017〕11号）等有关规定，制定本办法。</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 xml:space="preserve">第二条 </w:t>
      </w:r>
      <w:r>
        <w:rPr>
          <w:rFonts w:hint="eastAsia" w:ascii="仿宋_GB2312" w:hAnsi="仿宋_GB2312" w:eastAsia="仿宋_GB2312" w:cs="仿宋_GB2312"/>
          <w:b w:val="0"/>
          <w:bCs w:val="0"/>
          <w:i w:val="0"/>
          <w:color w:val="000000"/>
          <w:sz w:val="32"/>
          <w:szCs w:val="32"/>
          <w:highlight w:val="none"/>
          <w:u w:val="none"/>
          <w:lang w:eastAsia="zh-CN"/>
        </w:rPr>
        <w:t xml:space="preserve"> 省级知识产权专项资金（以下简称专项资金），是指省级财政预算安排，用于支持我省知识产权创造、运用、保</w:t>
      </w:r>
      <w:r>
        <w:rPr>
          <w:rFonts w:hint="eastAsia" w:ascii="仿宋_GB2312" w:hAnsi="仿宋_GB2312" w:eastAsia="仿宋_GB2312" w:cs="仿宋_GB2312"/>
          <w:b w:val="0"/>
          <w:bCs w:val="0"/>
          <w:i w:val="0"/>
          <w:color w:val="000000"/>
          <w:spacing w:val="-6"/>
          <w:sz w:val="32"/>
          <w:szCs w:val="32"/>
          <w:highlight w:val="none"/>
          <w:u w:val="none"/>
          <w:lang w:eastAsia="zh-CN"/>
        </w:rPr>
        <w:t>护、管理和服务等能力建设，推动我省知识产权事业发展的资金。</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本专项资金实施期限至2025年。实施期限届满前，由省财政厅会同省市场监管局按照有关规定进行评估确定是否继续实施和延续期限。</w:t>
      </w:r>
    </w:p>
    <w:p>
      <w:pPr>
        <w:pStyle w:val="6"/>
        <w:shd w:val="clear" w:color="auto" w:fill="FFFFFF"/>
        <w:adjustRightInd w:val="0"/>
        <w:snapToGrid w:val="0"/>
        <w:spacing w:before="313" w:beforeLines="100" w:beforeAutospacing="0" w:after="313" w:afterLines="100" w:afterAutospacing="0" w:line="600" w:lineRule="exact"/>
        <w:ind w:firstLine="0" w:firstLineChars="0"/>
        <w:jc w:val="center"/>
        <w:rPr>
          <w:rFonts w:hint="eastAsia" w:ascii="黑体" w:hAnsi="黑体" w:eastAsia="黑体" w:cs="黑体"/>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第二章</w:t>
      </w:r>
      <w:r>
        <w:rPr>
          <w:rFonts w:hint="eastAsia" w:ascii="黑体" w:hAnsi="黑体" w:eastAsia="黑体" w:cs="黑体"/>
          <w:b w:val="0"/>
          <w:bCs w:val="0"/>
          <w:i w:val="0"/>
          <w:color w:val="000000"/>
          <w:sz w:val="32"/>
          <w:szCs w:val="32"/>
          <w:highlight w:val="none"/>
          <w:u w:val="none"/>
          <w:lang w:val="en-US" w:eastAsia="zh-CN"/>
        </w:rPr>
        <w:t xml:space="preserve"> </w:t>
      </w:r>
      <w:r>
        <w:rPr>
          <w:rFonts w:hint="eastAsia" w:ascii="黑体" w:hAnsi="黑体" w:eastAsia="黑体" w:cs="黑体"/>
          <w:b w:val="0"/>
          <w:bCs w:val="0"/>
          <w:i w:val="0"/>
          <w:color w:val="000000"/>
          <w:sz w:val="32"/>
          <w:szCs w:val="32"/>
          <w:highlight w:val="none"/>
          <w:u w:val="none"/>
          <w:lang w:eastAsia="zh-CN"/>
        </w:rPr>
        <w:t>职责分工</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第三条</w:t>
      </w:r>
      <w:r>
        <w:rPr>
          <w:rFonts w:hint="eastAsia" w:ascii="仿宋_GB2312" w:hAnsi="仿宋_GB2312" w:eastAsia="仿宋_GB2312" w:cs="仿宋_GB2312"/>
          <w:b w:val="0"/>
          <w:bCs w:val="0"/>
          <w:i w:val="0"/>
          <w:color w:val="000000"/>
          <w:sz w:val="32"/>
          <w:szCs w:val="32"/>
          <w:highlight w:val="none"/>
          <w:u w:val="none"/>
          <w:lang w:eastAsia="zh-CN"/>
        </w:rPr>
        <w:t xml:space="preserve">  省财政厅负责专项资金的预算管理，会同省市场监管局确定专项资金支持重点、分配因素及权重，对专项资金使用进行监管;对省市场监管局提出的专项资金分配意见、绩效目标进行合规性审核，并下达预算和绩效目标，指导绩效管理工作等。</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省市场监管局配合省财政厅确定专项资金支持重点、分配因素及权重，对专项资金使用进行监管；负责收集专项资金分配因素的相关指标数据，提出专项资金分配意见和绩效目标，实施预算绩效管理，指导和督促各地各单位做好专项资金使用管理工作。</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第四条</w:t>
      </w:r>
      <w:r>
        <w:rPr>
          <w:rFonts w:hint="eastAsia" w:ascii="仿宋_GB2312" w:hAnsi="仿宋_GB2312" w:eastAsia="仿宋_GB2312" w:cs="仿宋_GB2312"/>
          <w:b w:val="0"/>
          <w:bCs w:val="0"/>
          <w:i w:val="0"/>
          <w:color w:val="000000"/>
          <w:sz w:val="32"/>
          <w:szCs w:val="32"/>
          <w:highlight w:val="none"/>
          <w:u w:val="none"/>
          <w:lang w:eastAsia="zh-CN"/>
        </w:rPr>
        <w:t xml:space="preserve">  市县财政部门负责省级安排本区域专项资金的预算和绩效目标下达、资金拨付，组织开展专项资金使用监管，指导预算绩效管理工作。</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市县市场监管部门提出本区域专项资金分配意见，编制本区域绩效目标，具体开展专项资金使用和管理监督工作，实施预算绩效管理。</w:t>
      </w:r>
    </w:p>
    <w:p>
      <w:pPr>
        <w:pStyle w:val="6"/>
        <w:shd w:val="clear" w:color="auto" w:fill="FFFFFF"/>
        <w:adjustRightInd w:val="0"/>
        <w:snapToGrid w:val="0"/>
        <w:spacing w:before="313" w:beforeLines="100" w:beforeAutospacing="0" w:after="313" w:afterLines="100" w:afterAutospacing="0" w:line="600" w:lineRule="exact"/>
        <w:ind w:firstLine="0" w:firstLineChars="0"/>
        <w:jc w:val="center"/>
        <w:rPr>
          <w:rFonts w:hint="eastAsia" w:ascii="黑体" w:hAnsi="黑体" w:eastAsia="黑体" w:cs="黑体"/>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第三章  资金用途</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第五条</w:t>
      </w:r>
      <w:r>
        <w:rPr>
          <w:rFonts w:hint="eastAsia" w:ascii="仿宋_GB2312" w:hAnsi="仿宋_GB2312" w:eastAsia="仿宋_GB2312" w:cs="仿宋_GB2312"/>
          <w:b w:val="0"/>
          <w:bCs w:val="0"/>
          <w:i w:val="0"/>
          <w:color w:val="000000"/>
          <w:sz w:val="32"/>
          <w:szCs w:val="32"/>
          <w:highlight w:val="none"/>
          <w:u w:val="none"/>
          <w:lang w:eastAsia="zh-CN"/>
        </w:rPr>
        <w:t xml:space="preserve">  专项资金使用范围主要包括：</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（一）知识产权质押融资、保险、证券化等金融工作。</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（二）知识产权保护能力建设和执法办案，高价值专利、商标品牌、地理标志培育。</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（三）省政府专利奖评审和奖励，中国驰名商标认定奖励，中国专利奖获奖奖励。</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（四）知识产权运用促进，知识产权服务体系建设，知识产权制度体系建设。</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（五）知识产权试点示范、地理标志示范区建设、地理标志运用促进工程建设。</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（六）知识产权普及、宣传、培训和人才建设，知识产权相关政策研究。</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（七）其他推进知识产权事业发展的相关事项。</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第六条</w:t>
      </w:r>
      <w:r>
        <w:rPr>
          <w:rFonts w:hint="eastAsia" w:ascii="仿宋_GB2312" w:hAnsi="仿宋_GB2312" w:eastAsia="仿宋_GB2312" w:cs="仿宋_GB2312"/>
          <w:b w:val="0"/>
          <w:bCs w:val="0"/>
          <w:i w:val="0"/>
          <w:color w:val="000000"/>
          <w:sz w:val="32"/>
          <w:szCs w:val="32"/>
          <w:highlight w:val="none"/>
          <w:u w:val="none"/>
          <w:lang w:eastAsia="zh-CN"/>
        </w:rPr>
        <w:t xml:space="preserve">  专项资金不得用于平衡预算、偿还债务，不得用于人员工资支出、楼堂馆所建设、购置车辆与通讯器材，以及与知识产权事业发展无关的其他支出等。</w:t>
      </w:r>
    </w:p>
    <w:p>
      <w:pPr>
        <w:pStyle w:val="6"/>
        <w:shd w:val="clear" w:color="auto" w:fill="FFFFFF"/>
        <w:adjustRightInd w:val="0"/>
        <w:snapToGrid w:val="0"/>
        <w:spacing w:before="313" w:beforeLines="100" w:beforeAutospacing="0" w:after="313" w:afterLines="100" w:afterAutospacing="0" w:line="600" w:lineRule="exact"/>
        <w:ind w:firstLine="0" w:firstLineChars="0"/>
        <w:jc w:val="center"/>
        <w:rPr>
          <w:rFonts w:hint="eastAsia" w:ascii="黑体" w:hAnsi="黑体" w:eastAsia="黑体" w:cs="黑体"/>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第四章  资金分配下达</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第七条</w:t>
      </w:r>
      <w:r>
        <w:rPr>
          <w:rFonts w:hint="eastAsia" w:ascii="仿宋_GB2312" w:hAnsi="仿宋_GB2312" w:eastAsia="仿宋_GB2312" w:cs="仿宋_GB2312"/>
          <w:b w:val="0"/>
          <w:bCs w:val="0"/>
          <w:i w:val="0"/>
          <w:color w:val="000000"/>
          <w:sz w:val="32"/>
          <w:szCs w:val="32"/>
          <w:highlight w:val="none"/>
          <w:u w:val="none"/>
          <w:lang w:eastAsia="zh-CN"/>
        </w:rPr>
        <w:t xml:space="preserve">  专项资金采取因素法与项目法相结合的分配方法。</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（一）补助给省级专项资金按照项目法分配，实行项目库管理。省市场监管局根据全省知识产权事业工作重点，明确项目入库申报流程、评估评审、滚动调整、支出标准等事项，按程序从项目库中择优确定项目。</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（二）补助给设区市（含赣江新区，下同）的专项资金按照因素法分配，由设区市财政部门商同级市场监管部门统筹安排用于本地区知识产权工作。分配因素及权重如下：</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1.专利运用因素，权重为40%。包括专利转让和许可次数指标、专利质押融资登记金额指标。</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2.专利创造因素，权重为16%。包括新增有效发明专利拥有量指标（或新增高价值专利拥有量）。</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3.专利执法因素，权重24%。是指行政案件数指标。</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4.重点工作因素，权重20%。分配因素主要为国家级知识产权平台、地理标志、中国驰名商标等中央和省委、省政府重点工作安排相关指标。</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分配因素和权重随着工作重点的变化可适当调整。计算各设区市专项资金数额，需根据各设区市专项资金绩效评价情况和财政困难程度情况对上述分配因素得分进行调整。</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分配因素指标数据和专项资金绩效评价情况由省市场监管局提供，财政困难程度情况由省财政厅提供。</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第八条</w:t>
      </w:r>
      <w:r>
        <w:rPr>
          <w:rFonts w:hint="eastAsia" w:ascii="仿宋_GB2312" w:hAnsi="仿宋_GB2312" w:eastAsia="仿宋_GB2312" w:cs="仿宋_GB2312"/>
          <w:b w:val="0"/>
          <w:bCs w:val="0"/>
          <w:i w:val="0"/>
          <w:color w:val="000000"/>
          <w:sz w:val="32"/>
          <w:szCs w:val="32"/>
          <w:highlight w:val="none"/>
          <w:u w:val="none"/>
          <w:lang w:eastAsia="zh-CN"/>
        </w:rPr>
        <w:t xml:space="preserve">  专项资金因素法分配计算公式如下：</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某设区市专项资金分配数额=（某设区市专利运用因素得分/∑各设区市专利运用因素得分×40%+某设区市专利创造因素得分/∑各设区市专利创造因素得分×16%+某设区市专利执法因素得分/∑各设区市专利执法因素得分×24%+某设区市重点工作因素得分/∑各设区市重点工作因素得分×20%）×因素法分配专项资金总额。</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其中：某设区市专利运用因素得分=（某设区市专利转让和许可次数指标/∑各设区市专利转让和许可次数指标+某设区市专利质押融资登记金额指标/∑各设区市专利质押融资登记金额指标）×某设区市绩效调节系数×某设区市财政困难程度系数。</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某设区市专利创造因素得分=某设区市新增有效发明专利拥有量（或新增高价值专利拥有量）指标/∑各设区市新增有效发明专利拥有量（或新增高价值专利拥有量）指标×某设区市绩效调节系数×某设区市财政困难程度系数。</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某设区市专利执法因素得分=某设区市行政案件数指标/∑各设区市行政案件数指标×某设区市绩效调节系数×某设区市财政困难程度系数。</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仿宋_GB2312" w:hAnsi="仿宋_GB2312" w:eastAsia="仿宋_GB2312" w:cs="仿宋_GB2312"/>
          <w:b w:val="0"/>
          <w:bCs w:val="0"/>
          <w:i w:val="0"/>
          <w:color w:val="000000"/>
          <w:sz w:val="32"/>
          <w:szCs w:val="32"/>
          <w:highlight w:val="none"/>
          <w:u w:val="none"/>
          <w:lang w:eastAsia="zh-CN"/>
        </w:rPr>
        <w:t>某设区市重点工作因素得分=某设区市重点工作因素指标/∑各设区市重点工作因素指标×某设区市绩效调节系数×某设区市财政困难程度系数。</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第九条</w:t>
      </w:r>
      <w:r>
        <w:rPr>
          <w:rFonts w:hint="eastAsia" w:ascii="仿宋_GB2312" w:hAnsi="仿宋_GB2312" w:eastAsia="仿宋_GB2312" w:cs="仿宋_GB2312"/>
          <w:b w:val="0"/>
          <w:bCs w:val="0"/>
          <w:i w:val="0"/>
          <w:color w:val="000000"/>
          <w:sz w:val="32"/>
          <w:szCs w:val="32"/>
          <w:highlight w:val="none"/>
          <w:u w:val="none"/>
          <w:lang w:eastAsia="zh-CN"/>
        </w:rPr>
        <w:t xml:space="preserve"> </w:t>
      </w:r>
      <w:r>
        <w:rPr>
          <w:rFonts w:hint="eastAsia" w:ascii="仿宋_GB2312" w:hAnsi="仿宋_GB2312" w:eastAsia="仿宋_GB2312" w:cs="仿宋_GB2312"/>
          <w:b w:val="0"/>
          <w:bCs w:val="0"/>
          <w:i w:val="0"/>
          <w:color w:val="000000"/>
          <w:sz w:val="32"/>
          <w:szCs w:val="32"/>
          <w:highlight w:val="none"/>
          <w:u w:val="none"/>
          <w:lang w:val="en-US" w:eastAsia="zh-CN"/>
        </w:rPr>
        <w:t xml:space="preserve"> </w:t>
      </w:r>
      <w:r>
        <w:rPr>
          <w:rFonts w:hint="eastAsia" w:ascii="仿宋_GB2312" w:hAnsi="仿宋_GB2312" w:eastAsia="仿宋_GB2312" w:cs="仿宋_GB2312"/>
          <w:b w:val="0"/>
          <w:bCs w:val="0"/>
          <w:i w:val="0"/>
          <w:color w:val="000000"/>
          <w:sz w:val="32"/>
          <w:szCs w:val="32"/>
          <w:highlight w:val="none"/>
          <w:u w:val="none"/>
          <w:lang w:eastAsia="zh-CN"/>
        </w:rPr>
        <w:t>省市场监管局于每年10月15日前提出下一年度提前下达专项资金预计数分配意见，省财政厅于每年10月30日前提前下达下一年度补助设区市专项资金预计数。</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第十条</w:t>
      </w:r>
      <w:r>
        <w:rPr>
          <w:rFonts w:hint="eastAsia" w:ascii="仿宋_GB2312" w:hAnsi="仿宋_GB2312" w:eastAsia="仿宋_GB2312" w:cs="仿宋_GB2312"/>
          <w:b w:val="0"/>
          <w:bCs w:val="0"/>
          <w:i w:val="0"/>
          <w:color w:val="000000"/>
          <w:sz w:val="32"/>
          <w:szCs w:val="32"/>
          <w:highlight w:val="none"/>
          <w:u w:val="none"/>
          <w:lang w:eastAsia="zh-CN"/>
        </w:rPr>
        <w:t xml:space="preserve">  未提前下达的专项资金于每年省人民代表大会批准省级预算后六十日内下达，其中：省市场监管局于五十日内提出分配意见，省财政厅收到省市场监管局分配意见后于十日内正式下达专项资金预算。</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第十一条</w:t>
      </w:r>
      <w:r>
        <w:rPr>
          <w:rFonts w:hint="eastAsia" w:ascii="仿宋_GB2312" w:hAnsi="仿宋_GB2312" w:eastAsia="仿宋_GB2312" w:cs="仿宋_GB2312"/>
          <w:b w:val="0"/>
          <w:bCs w:val="0"/>
          <w:i w:val="0"/>
          <w:color w:val="000000"/>
          <w:sz w:val="32"/>
          <w:szCs w:val="32"/>
          <w:highlight w:val="none"/>
          <w:u w:val="none"/>
          <w:lang w:eastAsia="zh-CN"/>
        </w:rPr>
        <w:t xml:space="preserve">  专项资金（含提前下达资金，下同）指标文件印发后，省市场监管局应于收到指标文件七日内商省财政厅下发任务清单，严禁变相向市县提出具体领域资金分配要求。</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第十二条</w:t>
      </w:r>
      <w:r>
        <w:rPr>
          <w:rFonts w:hint="eastAsia" w:ascii="仿宋_GB2312" w:hAnsi="仿宋_GB2312" w:eastAsia="仿宋_GB2312" w:cs="仿宋_GB2312"/>
          <w:b w:val="0"/>
          <w:bCs w:val="0"/>
          <w:i w:val="0"/>
          <w:color w:val="000000"/>
          <w:sz w:val="32"/>
          <w:szCs w:val="32"/>
          <w:highlight w:val="none"/>
          <w:u w:val="none"/>
          <w:lang w:eastAsia="zh-CN"/>
        </w:rPr>
        <w:t xml:space="preserve">  设区市财政部门收到专项资金后，应会同同级市场监管部门研究，于三十日内将专项资金分配下达至县（市、区）或资金使用单位，并将分配结果抄送省财政厅和省市场监管局。</w:t>
      </w:r>
    </w:p>
    <w:p>
      <w:pPr>
        <w:pStyle w:val="6"/>
        <w:shd w:val="clear" w:color="auto" w:fill="FFFFFF"/>
        <w:adjustRightInd w:val="0"/>
        <w:snapToGrid w:val="0"/>
        <w:spacing w:before="313" w:beforeLines="100" w:beforeAutospacing="0" w:after="313" w:afterLines="100" w:afterAutospacing="0" w:line="600" w:lineRule="exact"/>
        <w:ind w:firstLine="0" w:firstLineChars="0"/>
        <w:jc w:val="center"/>
        <w:rPr>
          <w:rFonts w:hint="eastAsia" w:ascii="黑体" w:hAnsi="黑体" w:eastAsia="黑体" w:cs="黑体"/>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第五章  资金使用管理</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第十三条</w:t>
      </w:r>
      <w:r>
        <w:rPr>
          <w:rFonts w:hint="eastAsia" w:ascii="仿宋_GB2312" w:hAnsi="仿宋_GB2312" w:eastAsia="仿宋_GB2312" w:cs="仿宋_GB2312"/>
          <w:b w:val="0"/>
          <w:bCs w:val="0"/>
          <w:i w:val="0"/>
          <w:color w:val="000000"/>
          <w:sz w:val="32"/>
          <w:szCs w:val="32"/>
          <w:highlight w:val="none"/>
          <w:u w:val="none"/>
          <w:lang w:eastAsia="zh-CN"/>
        </w:rPr>
        <w:t xml:space="preserve">  各级市场监管部门应建立项目库，加强项目管理，做好项目储备工作。使用专项资金的项目应在项目库中遴选，做到专项资金一经下达，即可进行项目对接并组织实施，未入库项目不得安排预算。</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第十四条</w:t>
      </w:r>
      <w:r>
        <w:rPr>
          <w:rFonts w:hint="eastAsia" w:ascii="仿宋_GB2312" w:hAnsi="仿宋_GB2312" w:eastAsia="仿宋_GB2312" w:cs="仿宋_GB2312"/>
          <w:b w:val="0"/>
          <w:bCs w:val="0"/>
          <w:i w:val="0"/>
          <w:color w:val="000000"/>
          <w:sz w:val="32"/>
          <w:szCs w:val="32"/>
          <w:highlight w:val="none"/>
          <w:u w:val="none"/>
          <w:lang w:eastAsia="zh-CN"/>
        </w:rPr>
        <w:t xml:space="preserve">  各级市场监管部门统筹上级转移支付和本级预算安排资金，围绕全省知识产权发展和本地知识产权事业发展要求，区分轻重缓急安排项目资金，不撒胡椒面，不搞平均主义，不得按部门内设机构切块安排资金。</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第十五条</w:t>
      </w:r>
      <w:r>
        <w:rPr>
          <w:rFonts w:hint="eastAsia" w:ascii="仿宋_GB2312" w:hAnsi="仿宋_GB2312" w:eastAsia="仿宋_GB2312" w:cs="仿宋_GB2312"/>
          <w:b w:val="0"/>
          <w:bCs w:val="0"/>
          <w:i w:val="0"/>
          <w:color w:val="000000"/>
          <w:sz w:val="32"/>
          <w:szCs w:val="32"/>
          <w:highlight w:val="none"/>
          <w:u w:val="none"/>
          <w:lang w:eastAsia="zh-CN"/>
        </w:rPr>
        <w:t xml:space="preserve">  专项资金支付按照国库集中支付制度有关规定执行。涉及结转结余、政府采购的资金，按照相关法律法规及有关制度执行。</w:t>
      </w:r>
    </w:p>
    <w:p>
      <w:pPr>
        <w:pStyle w:val="6"/>
        <w:shd w:val="clear" w:color="auto" w:fill="FFFFFF"/>
        <w:adjustRightInd w:val="0"/>
        <w:snapToGrid w:val="0"/>
        <w:spacing w:before="313" w:beforeLines="100" w:beforeAutospacing="0" w:after="313" w:afterLines="100" w:afterAutospacing="0" w:line="600" w:lineRule="exact"/>
        <w:ind w:firstLine="0" w:firstLineChars="0"/>
        <w:jc w:val="center"/>
        <w:rPr>
          <w:rFonts w:hint="eastAsia" w:ascii="黑体" w:hAnsi="黑体" w:eastAsia="黑体" w:cs="黑体"/>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第六章  绩效管理</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第十六条</w:t>
      </w:r>
      <w:r>
        <w:rPr>
          <w:rFonts w:hint="eastAsia" w:ascii="仿宋_GB2312" w:hAnsi="仿宋_GB2312" w:eastAsia="仿宋_GB2312" w:cs="仿宋_GB2312"/>
          <w:b w:val="0"/>
          <w:bCs w:val="0"/>
          <w:i w:val="0"/>
          <w:color w:val="000000"/>
          <w:sz w:val="32"/>
          <w:szCs w:val="32"/>
          <w:highlight w:val="none"/>
          <w:u w:val="none"/>
          <w:lang w:eastAsia="zh-CN"/>
        </w:rPr>
        <w:t xml:space="preserve">  专项资金实行全过程预算绩效管理，各级财政部门、市场监管部门按照《中共江西省委 江西省人民政府关于全面实施预算绩效管理的实施意见》和预算绩效管理相关制度规定，设定专项资金绩效目标，开展事前绩效评估、绩效运行监控和绩效评价等工作，加强绩效评价结果应用。</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 xml:space="preserve">第十七条 </w:t>
      </w:r>
      <w:r>
        <w:rPr>
          <w:rFonts w:hint="eastAsia" w:ascii="仿宋_GB2312" w:hAnsi="仿宋_GB2312" w:eastAsia="仿宋_GB2312" w:cs="仿宋_GB2312"/>
          <w:b w:val="0"/>
          <w:bCs w:val="0"/>
          <w:i w:val="0"/>
          <w:color w:val="000000"/>
          <w:sz w:val="32"/>
          <w:szCs w:val="32"/>
          <w:highlight w:val="none"/>
          <w:u w:val="none"/>
          <w:lang w:eastAsia="zh-CN"/>
        </w:rPr>
        <w:t xml:space="preserve"> 各级市场监管部门提出专项资金分配意见时，同步提出绩效目标。各级财政部门随专项资金预算同步下达绩效目标。使用专项资金的单位，应制定实施项目绩效目标，报同级市场监管部门，市场监管部门会同同级财政部门审核确定专项资金绩效目标，并按有关规定和要求实施专项资金绩效管理。</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第十八条</w:t>
      </w:r>
      <w:r>
        <w:rPr>
          <w:rFonts w:hint="eastAsia" w:ascii="仿宋_GB2312" w:hAnsi="仿宋_GB2312" w:eastAsia="仿宋_GB2312" w:cs="仿宋_GB2312"/>
          <w:b w:val="0"/>
          <w:bCs w:val="0"/>
          <w:i w:val="0"/>
          <w:color w:val="000000"/>
          <w:sz w:val="32"/>
          <w:szCs w:val="32"/>
          <w:highlight w:val="none"/>
          <w:u w:val="none"/>
          <w:lang w:eastAsia="zh-CN"/>
        </w:rPr>
        <w:t xml:space="preserve">  各级市场监管部门会同财政部门重点监控专项资金预算执行进度和绩效目标实现程度是否符合预期，若发生偏离，应及时采取措施予以纠正。</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第十九条</w:t>
      </w:r>
      <w:r>
        <w:rPr>
          <w:rFonts w:hint="eastAsia" w:ascii="仿宋_GB2312" w:hAnsi="仿宋_GB2312" w:eastAsia="仿宋_GB2312" w:cs="仿宋_GB2312"/>
          <w:b w:val="0"/>
          <w:bCs w:val="0"/>
          <w:i w:val="0"/>
          <w:color w:val="000000"/>
          <w:sz w:val="32"/>
          <w:szCs w:val="32"/>
          <w:highlight w:val="none"/>
          <w:u w:val="none"/>
          <w:lang w:eastAsia="zh-CN"/>
        </w:rPr>
        <w:t xml:space="preserve">  省市场监管局统筹组织实施年度绩效评价，绩效评价结果按规定时间报省财政厅。省财政厅根据需要开展重点项目绩效评价。绩效评价结果要作为专项资金分配和调整的重要依据。</w:t>
      </w:r>
    </w:p>
    <w:p>
      <w:pPr>
        <w:pStyle w:val="6"/>
        <w:shd w:val="clear" w:color="auto" w:fill="FFFFFF"/>
        <w:adjustRightInd w:val="0"/>
        <w:snapToGrid w:val="0"/>
        <w:spacing w:before="313" w:beforeLines="100" w:beforeAutospacing="0" w:after="313" w:afterLines="100" w:afterAutospacing="0" w:line="600" w:lineRule="exact"/>
        <w:ind w:firstLine="0" w:firstLineChars="0"/>
        <w:jc w:val="center"/>
        <w:rPr>
          <w:rFonts w:hint="eastAsia" w:ascii="黑体" w:hAnsi="黑体" w:eastAsia="黑体" w:cs="黑体"/>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第七章  监督检查和责任追究</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第二十条</w:t>
      </w:r>
      <w:r>
        <w:rPr>
          <w:rFonts w:hint="eastAsia" w:ascii="仿宋_GB2312" w:hAnsi="仿宋_GB2312" w:eastAsia="仿宋_GB2312" w:cs="仿宋_GB2312"/>
          <w:b w:val="0"/>
          <w:bCs w:val="0"/>
          <w:i w:val="0"/>
          <w:color w:val="000000"/>
          <w:sz w:val="32"/>
          <w:szCs w:val="32"/>
          <w:highlight w:val="none"/>
          <w:u w:val="none"/>
          <w:lang w:eastAsia="zh-CN"/>
        </w:rPr>
        <w:t xml:space="preserve">  各级财政、市场监管部门应当加强对专项资金的监督检查，建立健全专项资金监督检查和信息共享机制。各级专项资金使用单位应当按照“谁使用、谁负责”的原则，切实加强资金管理，接受财政、纪检监察和审计部门的监督检查。</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第二十一条</w:t>
      </w:r>
      <w:r>
        <w:rPr>
          <w:rFonts w:hint="eastAsia" w:ascii="仿宋_GB2312" w:hAnsi="仿宋_GB2312" w:eastAsia="仿宋_GB2312" w:cs="仿宋_GB2312"/>
          <w:b w:val="0"/>
          <w:bCs w:val="0"/>
          <w:i w:val="0"/>
          <w:color w:val="000000"/>
          <w:sz w:val="32"/>
          <w:szCs w:val="32"/>
          <w:highlight w:val="none"/>
          <w:u w:val="none"/>
          <w:lang w:eastAsia="zh-CN"/>
        </w:rPr>
        <w:t xml:space="preserve">  各级财政部门、市场监管部门及其相关工作人员各司其职，各负其责，在专项资金项目申报审核、分配使用、项目执行等相关工作中存在违反本办法规定以及其他滥用职权、玩忽职守、徇私舞弊等违规违纪违法行为的，按照《中</w:t>
      </w:r>
      <w:bookmarkStart w:id="0" w:name="_GoBack"/>
      <w:bookmarkEnd w:id="0"/>
      <w:r>
        <w:rPr>
          <w:rFonts w:hint="eastAsia" w:ascii="仿宋_GB2312" w:hAnsi="仿宋_GB2312" w:eastAsia="仿宋_GB2312" w:cs="仿宋_GB2312"/>
          <w:b w:val="0"/>
          <w:bCs w:val="0"/>
          <w:i w:val="0"/>
          <w:color w:val="000000"/>
          <w:sz w:val="32"/>
          <w:szCs w:val="32"/>
          <w:highlight w:val="none"/>
          <w:u w:val="none"/>
          <w:lang w:eastAsia="zh-CN"/>
        </w:rPr>
        <w:t>华人民共和国预算法》《中华人民共和国公务员法》《中华人民共和国监察法》《财政违法行为处罚处分条例》等法律法规追究相应责任。涉嫌犯罪的，依法追究刑事责任。</w:t>
      </w:r>
    </w:p>
    <w:p>
      <w:pPr>
        <w:pStyle w:val="6"/>
        <w:shd w:val="clear" w:color="auto" w:fill="FFFFFF"/>
        <w:adjustRightInd w:val="0"/>
        <w:snapToGrid w:val="0"/>
        <w:spacing w:before="313" w:beforeLines="100" w:beforeAutospacing="0" w:after="313" w:afterLines="100" w:afterAutospacing="0" w:line="600" w:lineRule="exact"/>
        <w:ind w:firstLine="0" w:firstLineChars="0"/>
        <w:jc w:val="center"/>
        <w:rPr>
          <w:rFonts w:hint="eastAsia" w:ascii="黑体" w:hAnsi="黑体" w:eastAsia="黑体" w:cs="黑体"/>
          <w:b w:val="0"/>
          <w:bCs w:val="0"/>
          <w:i w:val="0"/>
          <w:color w:val="000000"/>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第八章  附  则</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pacing w:val="-11"/>
          <w:sz w:val="32"/>
          <w:szCs w:val="32"/>
          <w:highlight w:val="none"/>
          <w:u w:val="none"/>
          <w:lang w:eastAsia="zh-CN"/>
        </w:rPr>
      </w:pPr>
      <w:r>
        <w:rPr>
          <w:rFonts w:hint="eastAsia" w:ascii="黑体" w:hAnsi="黑体" w:eastAsia="黑体" w:cs="黑体"/>
          <w:b w:val="0"/>
          <w:bCs w:val="0"/>
          <w:i w:val="0"/>
          <w:color w:val="000000"/>
          <w:sz w:val="32"/>
          <w:szCs w:val="32"/>
          <w:highlight w:val="none"/>
          <w:u w:val="none"/>
          <w:lang w:eastAsia="zh-CN"/>
        </w:rPr>
        <w:t>第二十二条</w:t>
      </w:r>
      <w:r>
        <w:rPr>
          <w:rFonts w:hint="eastAsia" w:ascii="仿宋_GB2312" w:hAnsi="仿宋_GB2312" w:eastAsia="仿宋_GB2312" w:cs="仿宋_GB2312"/>
          <w:b w:val="0"/>
          <w:bCs w:val="0"/>
          <w:i w:val="0"/>
          <w:color w:val="000000"/>
          <w:spacing w:val="-11"/>
          <w:sz w:val="32"/>
          <w:szCs w:val="32"/>
          <w:highlight w:val="none"/>
          <w:u w:val="none"/>
          <w:lang w:eastAsia="zh-CN"/>
        </w:rPr>
        <w:t xml:space="preserve">  本办法由省财政厅会同省市场监管局负责解释。</w:t>
      </w:r>
    </w:p>
    <w:p>
      <w:pPr>
        <w:pStyle w:val="6"/>
        <w:shd w:val="clear" w:color="auto" w:fill="FFFFFF"/>
        <w:adjustRightInd w:val="0"/>
        <w:snapToGrid w:val="0"/>
        <w:spacing w:before="0" w:beforeLines="0" w:beforeAutospacing="0" w:after="0" w:afterLines="0" w:afterAutospacing="0" w:line="600" w:lineRule="exact"/>
        <w:ind w:firstLine="640" w:firstLineChars="200"/>
        <w:jc w:val="both"/>
        <w:rPr>
          <w:rFonts w:hint="eastAsia" w:ascii="仿宋_GB2312" w:hAnsi="仿宋_GB2312" w:eastAsia="仿宋_GB2312" w:cs="仿宋_GB2312"/>
          <w:b w:val="0"/>
          <w:bCs w:val="0"/>
          <w:i w:val="0"/>
          <w:color w:val="000000"/>
          <w:sz w:val="32"/>
          <w:szCs w:val="32"/>
          <w:highlight w:val="none"/>
          <w:u w:val="none"/>
          <w:lang w:eastAsia="zh-CN"/>
        </w:rPr>
        <w:sectPr>
          <w:footerReference r:id="rId3" w:type="default"/>
          <w:footerReference r:id="rId4" w:type="even"/>
          <w:pgSz w:w="11906" w:h="16838"/>
          <w:pgMar w:top="2098" w:right="1588" w:bottom="2098" w:left="1588" w:header="851" w:footer="992" w:gutter="0"/>
          <w:cols w:space="720" w:num="1"/>
          <w:docGrid w:type="lines" w:linePitch="312" w:charSpace="0"/>
        </w:sectPr>
      </w:pPr>
      <w:r>
        <w:rPr>
          <w:rFonts w:hint="eastAsia" w:ascii="黑体" w:hAnsi="黑体" w:eastAsia="黑体" w:cs="黑体"/>
          <w:b w:val="0"/>
          <w:bCs w:val="0"/>
          <w:i w:val="0"/>
          <w:color w:val="000000"/>
          <w:sz w:val="32"/>
          <w:szCs w:val="32"/>
          <w:highlight w:val="none"/>
          <w:u w:val="none"/>
          <w:lang w:eastAsia="zh-CN"/>
        </w:rPr>
        <w:t>第二十三条</w:t>
      </w:r>
      <w:r>
        <w:rPr>
          <w:rFonts w:hint="eastAsia" w:ascii="仿宋_GB2312" w:hAnsi="仿宋_GB2312" w:eastAsia="仿宋_GB2312" w:cs="仿宋_GB2312"/>
          <w:b w:val="0"/>
          <w:bCs w:val="0"/>
          <w:i w:val="0"/>
          <w:color w:val="000000"/>
          <w:sz w:val="32"/>
          <w:szCs w:val="32"/>
          <w:highlight w:val="none"/>
          <w:u w:val="none"/>
          <w:lang w:eastAsia="zh-CN"/>
        </w:rPr>
        <w:t xml:space="preserve">  本办法自印发之日起施行。《江西省省级专利资金管理暂行办法》（赣财教〔2006〕155号）、《江西省专利费资助暂行办法》（赣知发〔2006〕53号）、《江西省中小微企业知识产权质押融资管理办法（暂行）》（赣知发〔2015〕79号）同时废止。以往有关规定与本办法不一致的，以本办法为准。</w:t>
      </w:r>
    </w:p>
    <w:p>
      <w:pPr>
        <w:pStyle w:val="6"/>
        <w:shd w:val="clear" w:color="auto" w:fill="FFFFFF"/>
        <w:adjustRightInd w:val="0"/>
        <w:snapToGrid w:val="0"/>
        <w:spacing w:before="0" w:beforeLines="0" w:beforeAutospacing="0" w:after="0" w:afterLines="0" w:afterAutospacing="0" w:line="500" w:lineRule="exact"/>
        <w:ind w:firstLine="0" w:firstLineChars="0"/>
        <w:jc w:val="both"/>
        <w:rPr>
          <w:rFonts w:hint="eastAsia" w:ascii="方正小标宋简体" w:hAnsi="方正小标宋简体" w:eastAsia="方正小标宋简体" w:cs="方正小标宋简体"/>
          <w:b w:val="0"/>
          <w:bCs w:val="0"/>
          <w:color w:val="auto"/>
          <w:sz w:val="32"/>
          <w:szCs w:val="32"/>
          <w:highlight w:val="none"/>
          <w:lang w:eastAsia="zh-CN"/>
        </w:rPr>
      </w:pPr>
      <w:r>
        <w:rPr>
          <w:rFonts w:hint="eastAsia" w:ascii="黑体" w:hAnsi="宋体" w:eastAsia="黑体" w:cs="黑体"/>
          <w:b w:val="0"/>
          <w:bCs w:val="0"/>
          <w:i w:val="0"/>
          <w:color w:val="000000"/>
          <w:sz w:val="32"/>
          <w:szCs w:val="32"/>
          <w:highlight w:val="none"/>
          <w:u w:val="none"/>
          <w:lang w:eastAsia="zh-CN"/>
        </w:rPr>
        <w:t>附</w:t>
      </w:r>
    </w:p>
    <w:tbl>
      <w:tblPr>
        <w:tblStyle w:val="7"/>
        <w:tblW w:w="88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361"/>
        <w:gridCol w:w="1062"/>
        <w:gridCol w:w="1069"/>
        <w:gridCol w:w="2567"/>
        <w:gridCol w:w="1218"/>
        <w:gridCol w:w="15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33" w:hRule="atLeast"/>
        </w:trPr>
        <w:tc>
          <w:tcPr>
            <w:tcW w:w="8817" w:type="dxa"/>
            <w:gridSpan w:val="6"/>
            <w:tcBorders>
              <w:top w:val="nil"/>
              <w:left w:val="nil"/>
              <w:bottom w:val="nil"/>
              <w:righ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方正小标宋简体" w:hAnsi="方正小标宋简体" w:eastAsia="方正小标宋简体" w:cs="方正小标宋简体"/>
                <w:sz w:val="44"/>
                <w:szCs w:val="48"/>
                <w:highlight w:val="none"/>
                <w:lang w:val="en-US" w:eastAsia="zh-CN"/>
              </w:rPr>
            </w:pPr>
            <w:r>
              <w:rPr>
                <w:rFonts w:hint="eastAsia" w:ascii="方正小标宋简体" w:hAnsi="方正小标宋简体" w:eastAsia="方正小标宋简体" w:cs="方正小标宋简体"/>
                <w:sz w:val="44"/>
                <w:szCs w:val="48"/>
                <w:highlight w:val="none"/>
                <w:lang w:val="en-US" w:eastAsia="zh-CN"/>
              </w:rPr>
              <w:t>省级知识产权专项资金绩效目标表</w:t>
            </w:r>
          </w:p>
          <w:p>
            <w:pPr>
              <w:pStyle w:val="4"/>
              <w:keepNext/>
              <w:keepLines/>
              <w:pageBreakBefore w:val="0"/>
              <w:widowControl/>
              <w:kinsoku/>
              <w:wordWrap/>
              <w:overflowPunct/>
              <w:topLinePunct w:val="0"/>
              <w:autoSpaceDE/>
              <w:autoSpaceDN/>
              <w:bidi w:val="0"/>
              <w:adjustRightInd/>
              <w:snapToGrid/>
              <w:spacing w:before="0" w:after="0" w:line="240" w:lineRule="auto"/>
              <w:jc w:val="center"/>
              <w:textAlignment w:val="auto"/>
              <w:rPr>
                <w:rFonts w:hint="eastAsia" w:eastAsia="宋体"/>
                <w:highlight w:val="none"/>
                <w:lang w:eastAsia="zh-CN"/>
              </w:rPr>
            </w:pPr>
            <w:r>
              <w:rPr>
                <w:rFonts w:hint="eastAsia"/>
                <w:b w:val="0"/>
                <w:bCs w:val="0"/>
                <w:sz w:val="20"/>
                <w:szCs w:val="20"/>
                <w:highlight w:val="none"/>
                <w:lang w:eastAsia="zh-CN"/>
              </w:rPr>
              <w:t>（</w:t>
            </w:r>
            <w:r>
              <w:rPr>
                <w:rFonts w:hint="eastAsia"/>
                <w:b w:val="0"/>
                <w:bCs w:val="0"/>
                <w:sz w:val="20"/>
                <w:szCs w:val="20"/>
                <w:highlight w:val="none"/>
                <w:lang w:val="en-US" w:eastAsia="zh-CN"/>
              </w:rPr>
              <w:t xml:space="preserve">          </w:t>
            </w:r>
            <w:r>
              <w:rPr>
                <w:rFonts w:hint="eastAsia"/>
                <w:b w:val="0"/>
                <w:bCs w:val="0"/>
                <w:sz w:val="20"/>
                <w:szCs w:val="20"/>
                <w:highlight w:val="none"/>
                <w:lang w:eastAsia="zh-CN"/>
              </w:rPr>
              <w:t>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0" w:line="240" w:lineRule="exact"/>
              <w:jc w:val="center"/>
              <w:textAlignment w:val="center"/>
              <w:rPr>
                <w:rFonts w:hint="eastAsia" w:ascii="宋体" w:hAnsi="宋体" w:eastAsia="宋体" w:cs="宋体"/>
                <w:b w:val="0"/>
                <w:bCs w:val="0"/>
                <w:i w:val="0"/>
                <w:color w:val="000000"/>
                <w:sz w:val="20"/>
                <w:szCs w:val="20"/>
                <w:highlight w:val="none"/>
                <w:u w:val="none"/>
              </w:rPr>
            </w:pPr>
            <w:r>
              <w:rPr>
                <w:rFonts w:hint="eastAsia" w:ascii="宋体" w:hAnsi="宋体" w:eastAsia="宋体" w:cs="宋体"/>
                <w:b w:val="0"/>
                <w:bCs w:val="0"/>
                <w:i w:val="0"/>
                <w:color w:val="000000"/>
                <w:kern w:val="0"/>
                <w:sz w:val="20"/>
                <w:szCs w:val="20"/>
                <w:highlight w:val="none"/>
                <w:u w:val="none"/>
                <w:lang w:val="en-US" w:eastAsia="zh-CN" w:bidi="ar"/>
              </w:rPr>
              <w:t>专项名称</w:t>
            </w:r>
          </w:p>
        </w:tc>
        <w:tc>
          <w:tcPr>
            <w:tcW w:w="7456"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0" w:line="240" w:lineRule="exact"/>
              <w:jc w:val="center"/>
              <w:textAlignment w:val="center"/>
              <w:rPr>
                <w:rFonts w:hint="eastAsia" w:ascii="宋体" w:hAnsi="宋体" w:eastAsia="宋体" w:cs="宋体"/>
                <w:b w:val="0"/>
                <w:bCs w:val="0"/>
                <w:i w:val="0"/>
                <w:color w:val="000000"/>
                <w:sz w:val="20"/>
                <w:szCs w:val="20"/>
                <w:highlight w:val="none"/>
                <w:u w:val="none"/>
              </w:rPr>
            </w:pPr>
            <w:r>
              <w:rPr>
                <w:rFonts w:hint="eastAsia" w:ascii="宋体" w:hAnsi="宋体" w:eastAsia="宋体" w:cs="宋体"/>
                <w:b w:val="0"/>
                <w:bCs w:val="0"/>
                <w:i w:val="0"/>
                <w:color w:val="000000"/>
                <w:kern w:val="0"/>
                <w:sz w:val="20"/>
                <w:szCs w:val="20"/>
                <w:highlight w:val="none"/>
                <w:u w:val="none"/>
                <w:lang w:val="en-US" w:eastAsia="zh-CN" w:bidi="ar"/>
              </w:rPr>
              <w:t>知识产权专项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5" w:hRule="atLeast"/>
        </w:trPr>
        <w:tc>
          <w:tcPr>
            <w:tcW w:w="136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r>
              <w:rPr>
                <w:rFonts w:hint="eastAsia" w:ascii="宋体" w:hAnsi="宋体" w:eastAsia="宋体" w:cs="宋体"/>
                <w:b w:val="0"/>
                <w:bCs w:val="0"/>
                <w:i w:val="0"/>
                <w:color w:val="000000"/>
                <w:kern w:val="0"/>
                <w:sz w:val="20"/>
                <w:szCs w:val="20"/>
                <w:highlight w:val="none"/>
                <w:u w:val="none"/>
                <w:lang w:val="en-US" w:eastAsia="zh-CN" w:bidi="ar"/>
              </w:rPr>
              <w:t>省级财政部门</w:t>
            </w:r>
          </w:p>
        </w:tc>
        <w:tc>
          <w:tcPr>
            <w:tcW w:w="213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r>
              <w:rPr>
                <w:rFonts w:hint="eastAsia" w:ascii="宋体" w:hAnsi="宋体" w:eastAsia="宋体" w:cs="宋体"/>
                <w:b w:val="0"/>
                <w:bCs w:val="0"/>
                <w:i w:val="0"/>
                <w:color w:val="000000"/>
                <w:kern w:val="0"/>
                <w:sz w:val="20"/>
                <w:szCs w:val="20"/>
                <w:highlight w:val="none"/>
                <w:u w:val="none"/>
                <w:lang w:val="en-US" w:eastAsia="zh-CN" w:bidi="ar"/>
              </w:rPr>
              <w:t>江西省财政厅</w:t>
            </w:r>
          </w:p>
        </w:tc>
        <w:tc>
          <w:tcPr>
            <w:tcW w:w="25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r>
              <w:rPr>
                <w:rFonts w:hint="eastAsia" w:ascii="宋体" w:hAnsi="宋体" w:eastAsia="宋体" w:cs="宋体"/>
                <w:b w:val="0"/>
                <w:bCs w:val="0"/>
                <w:i w:val="0"/>
                <w:color w:val="000000"/>
                <w:kern w:val="0"/>
                <w:sz w:val="20"/>
                <w:szCs w:val="20"/>
                <w:highlight w:val="none"/>
                <w:u w:val="none"/>
                <w:lang w:val="en-US" w:eastAsia="zh-CN" w:bidi="ar"/>
              </w:rPr>
              <w:t>省级主管部门</w:t>
            </w:r>
          </w:p>
        </w:tc>
        <w:tc>
          <w:tcPr>
            <w:tcW w:w="275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r>
              <w:rPr>
                <w:rFonts w:hint="eastAsia" w:ascii="宋体" w:hAnsi="宋体" w:eastAsia="宋体" w:cs="宋体"/>
                <w:b w:val="0"/>
                <w:bCs w:val="0"/>
                <w:i w:val="0"/>
                <w:color w:val="000000"/>
                <w:kern w:val="0"/>
                <w:sz w:val="20"/>
                <w:szCs w:val="20"/>
                <w:highlight w:val="none"/>
                <w:u w:val="none"/>
                <w:lang w:val="en-US" w:eastAsia="zh-CN" w:bidi="ar"/>
              </w:rPr>
              <w:t>江西省市场监督管理局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5" w:hRule="atLeast"/>
        </w:trPr>
        <w:tc>
          <w:tcPr>
            <w:tcW w:w="1361"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r>
              <w:rPr>
                <w:rFonts w:hint="eastAsia" w:ascii="宋体" w:hAnsi="宋体" w:eastAsia="宋体" w:cs="宋体"/>
                <w:b w:val="0"/>
                <w:bCs w:val="0"/>
                <w:i w:val="0"/>
                <w:color w:val="000000"/>
                <w:kern w:val="0"/>
                <w:sz w:val="20"/>
                <w:szCs w:val="20"/>
                <w:highlight w:val="none"/>
                <w:u w:val="none"/>
                <w:lang w:val="en-US" w:eastAsia="zh-CN" w:bidi="ar"/>
              </w:rPr>
              <w:t>资金安排情况</w:t>
            </w:r>
          </w:p>
        </w:tc>
        <w:tc>
          <w:tcPr>
            <w:tcW w:w="213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r>
              <w:rPr>
                <w:rFonts w:hint="eastAsia" w:ascii="宋体" w:hAnsi="宋体" w:eastAsia="宋体" w:cs="宋体"/>
                <w:b w:val="0"/>
                <w:bCs w:val="0"/>
                <w:i w:val="0"/>
                <w:color w:val="000000"/>
                <w:kern w:val="0"/>
                <w:sz w:val="20"/>
                <w:szCs w:val="20"/>
                <w:highlight w:val="none"/>
                <w:u w:val="none"/>
                <w:lang w:val="en-US" w:eastAsia="zh-CN" w:bidi="ar"/>
              </w:rPr>
              <w:t>年度金额</w:t>
            </w:r>
          </w:p>
        </w:tc>
        <w:tc>
          <w:tcPr>
            <w:tcW w:w="532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4" w:hRule="atLeast"/>
        </w:trPr>
        <w:tc>
          <w:tcPr>
            <w:tcW w:w="1361"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213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r>
              <w:rPr>
                <w:rFonts w:hint="eastAsia" w:ascii="宋体" w:hAnsi="宋体" w:eastAsia="宋体" w:cs="宋体"/>
                <w:b w:val="0"/>
                <w:bCs w:val="0"/>
                <w:i w:val="0"/>
                <w:color w:val="000000"/>
                <w:kern w:val="0"/>
                <w:sz w:val="20"/>
                <w:szCs w:val="20"/>
                <w:highlight w:val="none"/>
                <w:u w:val="none"/>
                <w:lang w:val="en-US" w:eastAsia="zh-CN" w:bidi="ar"/>
              </w:rPr>
              <w:t>其中：省级补助</w:t>
            </w:r>
          </w:p>
        </w:tc>
        <w:tc>
          <w:tcPr>
            <w:tcW w:w="532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213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r>
              <w:rPr>
                <w:rFonts w:hint="default" w:ascii="宋体" w:hAnsi="宋体" w:eastAsia="宋体" w:cs="宋体"/>
                <w:b w:val="0"/>
                <w:bCs w:val="0"/>
                <w:i w:val="0"/>
                <w:color w:val="000000"/>
                <w:kern w:val="0"/>
                <w:sz w:val="20"/>
                <w:szCs w:val="20"/>
                <w:highlight w:val="none"/>
                <w:u w:val="none"/>
                <w:lang w:val="en" w:eastAsia="zh-CN" w:bidi="ar"/>
              </w:rPr>
              <w:t xml:space="preserve">      </w:t>
            </w:r>
            <w:r>
              <w:rPr>
                <w:rFonts w:hint="eastAsia" w:ascii="宋体" w:hAnsi="宋体" w:eastAsia="宋体" w:cs="宋体"/>
                <w:b w:val="0"/>
                <w:bCs w:val="0"/>
                <w:i w:val="0"/>
                <w:color w:val="000000"/>
                <w:kern w:val="0"/>
                <w:sz w:val="20"/>
                <w:szCs w:val="20"/>
                <w:highlight w:val="none"/>
                <w:u w:val="none"/>
                <w:lang w:val="en-US" w:eastAsia="zh-CN" w:bidi="ar"/>
              </w:rPr>
              <w:t>地方资金</w:t>
            </w:r>
          </w:p>
        </w:tc>
        <w:tc>
          <w:tcPr>
            <w:tcW w:w="532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0" w:hRule="atLeast"/>
        </w:trPr>
        <w:tc>
          <w:tcPr>
            <w:tcW w:w="1361"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r>
              <w:rPr>
                <w:rFonts w:hint="eastAsia" w:ascii="宋体" w:hAnsi="宋体" w:eastAsia="宋体" w:cs="宋体"/>
                <w:b w:val="0"/>
                <w:bCs w:val="0"/>
                <w:i w:val="0"/>
                <w:color w:val="000000"/>
                <w:kern w:val="0"/>
                <w:sz w:val="20"/>
                <w:szCs w:val="20"/>
                <w:highlight w:val="none"/>
                <w:u w:val="none"/>
                <w:lang w:val="en-US" w:eastAsia="zh-CN" w:bidi="ar"/>
              </w:rPr>
              <w:t>年度目标</w:t>
            </w:r>
          </w:p>
        </w:tc>
        <w:tc>
          <w:tcPr>
            <w:tcW w:w="7456" w:type="dxa"/>
            <w:gridSpan w:val="5"/>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after="0" w:line="220" w:lineRule="exac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目标1：知识产权执法保护力度加强，知识产权保护水平提升。</w:t>
            </w:r>
          </w:p>
          <w:p>
            <w:pPr>
              <w:keepNext w:val="0"/>
              <w:keepLines w:val="0"/>
              <w:pageBreakBefore w:val="0"/>
              <w:widowControl/>
              <w:kinsoku/>
              <w:wordWrap/>
              <w:overflowPunct/>
              <w:topLinePunct w:val="0"/>
              <w:autoSpaceDE/>
              <w:autoSpaceDN/>
              <w:bidi w:val="0"/>
              <w:adjustRightInd w:val="0"/>
              <w:snapToGrid w:val="0"/>
              <w:spacing w:after="0" w:line="220" w:lineRule="exac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目标</w:t>
            </w:r>
            <w:r>
              <w:rPr>
                <w:rFonts w:hint="default" w:ascii="宋体" w:hAnsi="宋体" w:eastAsia="宋体" w:cs="宋体"/>
                <w:sz w:val="21"/>
                <w:szCs w:val="21"/>
                <w:highlight w:val="none"/>
                <w:lang w:val="en" w:eastAsia="zh-CN"/>
              </w:rPr>
              <w:t>2</w:t>
            </w:r>
            <w:r>
              <w:rPr>
                <w:rFonts w:hint="eastAsia" w:ascii="宋体" w:hAnsi="宋体" w:eastAsia="宋体" w:cs="宋体"/>
                <w:sz w:val="21"/>
                <w:szCs w:val="21"/>
                <w:highlight w:val="none"/>
                <w:lang w:val="en-US" w:eastAsia="zh-CN"/>
              </w:rPr>
              <w:t>：培育高价值专利，建设和完善我省知识产权公共信息服务体系，推进专利转移转化平台建设</w:t>
            </w:r>
            <w:r>
              <w:rPr>
                <w:rFonts w:hint="eastAsia" w:ascii="宋体" w:hAnsi="宋体" w:eastAsia="宋体" w:cs="宋体"/>
                <w:sz w:val="21"/>
                <w:szCs w:val="21"/>
                <w:highlight w:val="none"/>
                <w:lang w:val="en" w:eastAsia="zh-CN"/>
              </w:rPr>
              <w:t>,</w:t>
            </w:r>
            <w:r>
              <w:rPr>
                <w:rFonts w:hint="eastAsia" w:ascii="宋体" w:hAnsi="宋体" w:eastAsia="宋体" w:cs="宋体"/>
                <w:sz w:val="21"/>
                <w:szCs w:val="21"/>
                <w:highlight w:val="none"/>
                <w:lang w:val="en-US" w:eastAsia="zh-CN"/>
              </w:rPr>
              <w:t>开展省专利奖评选。</w:t>
            </w:r>
          </w:p>
          <w:p>
            <w:pPr>
              <w:keepNext w:val="0"/>
              <w:keepLines w:val="0"/>
              <w:pageBreakBefore w:val="0"/>
              <w:widowControl/>
              <w:kinsoku/>
              <w:wordWrap/>
              <w:overflowPunct/>
              <w:topLinePunct w:val="0"/>
              <w:autoSpaceDE/>
              <w:autoSpaceDN/>
              <w:bidi w:val="0"/>
              <w:adjustRightInd w:val="0"/>
              <w:snapToGrid w:val="0"/>
              <w:spacing w:after="0" w:line="220" w:lineRule="exac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目标</w:t>
            </w:r>
            <w:r>
              <w:rPr>
                <w:rFonts w:hint="default" w:ascii="宋体" w:hAnsi="宋体" w:eastAsia="宋体" w:cs="宋体"/>
                <w:sz w:val="21"/>
                <w:szCs w:val="21"/>
                <w:highlight w:val="none"/>
                <w:lang w:val="en" w:eastAsia="zh-CN"/>
              </w:rPr>
              <w:t>3</w:t>
            </w:r>
            <w:r>
              <w:rPr>
                <w:rFonts w:hint="eastAsia" w:ascii="宋体" w:hAnsi="宋体" w:eastAsia="宋体" w:cs="宋体"/>
                <w:sz w:val="21"/>
                <w:szCs w:val="21"/>
                <w:highlight w:val="none"/>
                <w:lang w:val="en-US" w:eastAsia="zh-CN"/>
              </w:rPr>
              <w:t>：推动全省区域公用商标品牌建设。</w:t>
            </w:r>
          </w:p>
          <w:p>
            <w:pPr>
              <w:keepNext w:val="0"/>
              <w:keepLines w:val="0"/>
              <w:pageBreakBefore w:val="0"/>
              <w:widowControl/>
              <w:kinsoku/>
              <w:wordWrap/>
              <w:overflowPunct/>
              <w:topLinePunct w:val="0"/>
              <w:autoSpaceDE/>
              <w:autoSpaceDN/>
              <w:bidi w:val="0"/>
              <w:adjustRightInd w:val="0"/>
              <w:snapToGrid w:val="0"/>
              <w:spacing w:after="0" w:line="220" w:lineRule="exac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目标</w:t>
            </w:r>
            <w:r>
              <w:rPr>
                <w:rFonts w:hint="default" w:ascii="宋体" w:hAnsi="宋体" w:eastAsia="宋体" w:cs="宋体"/>
                <w:sz w:val="21"/>
                <w:szCs w:val="21"/>
                <w:highlight w:val="none"/>
                <w:lang w:val="en" w:eastAsia="zh-CN"/>
              </w:rPr>
              <w:t>4</w:t>
            </w:r>
            <w:r>
              <w:rPr>
                <w:rFonts w:hint="eastAsia" w:ascii="宋体" w:hAnsi="宋体" w:eastAsia="宋体" w:cs="宋体"/>
                <w:sz w:val="21"/>
                <w:szCs w:val="21"/>
                <w:highlight w:val="none"/>
                <w:lang w:val="en-US" w:eastAsia="zh-CN"/>
              </w:rPr>
              <w:t>：推动建设我省商标品牌创建能力人才储备。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sz w:val="20"/>
                <w:szCs w:val="20"/>
                <w:highlight w:val="none"/>
                <w:u w:val="none"/>
              </w:rPr>
            </w:pPr>
            <w:r>
              <w:rPr>
                <w:rFonts w:hint="eastAsia" w:ascii="宋体" w:hAnsi="宋体" w:eastAsia="宋体" w:cs="宋体"/>
                <w:b w:val="0"/>
                <w:bCs w:val="0"/>
                <w:i w:val="0"/>
                <w:color w:val="000000"/>
                <w:kern w:val="0"/>
                <w:sz w:val="20"/>
                <w:szCs w:val="20"/>
                <w:highlight w:val="none"/>
                <w:u w:val="none"/>
                <w:lang w:val="en-US" w:eastAsia="zh-CN" w:bidi="ar"/>
              </w:rPr>
              <w:t>一级指标</w:t>
            </w:r>
          </w:p>
        </w:tc>
        <w:tc>
          <w:tcPr>
            <w:tcW w:w="106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after="0" w:line="240" w:lineRule="exact"/>
              <w:jc w:val="center"/>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二级指标</w:t>
            </w:r>
          </w:p>
        </w:tc>
        <w:tc>
          <w:tcPr>
            <w:tcW w:w="4854" w:type="dxa"/>
            <w:gridSpan w:val="3"/>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after="0" w:line="240" w:lineRule="exact"/>
              <w:jc w:val="center"/>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三级指标（根据年度任务设定）</w:t>
            </w:r>
          </w:p>
        </w:tc>
        <w:tc>
          <w:tcPr>
            <w:tcW w:w="154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after="0" w:line="240" w:lineRule="exact"/>
              <w:jc w:val="center"/>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年度指标值（根据年度任务设定）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trPr>
        <w:tc>
          <w:tcPr>
            <w:tcW w:w="1361" w:type="dxa"/>
            <w:vMerge w:val="restart"/>
            <w:tcBorders>
              <w:top w:val="single" w:color="auto" w:sz="4" w:space="0"/>
              <w:left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产出指标</w:t>
            </w:r>
          </w:p>
        </w:tc>
        <w:tc>
          <w:tcPr>
            <w:tcW w:w="1062" w:type="dxa"/>
            <w:vMerge w:val="restart"/>
            <w:tcBorders>
              <w:top w:val="single" w:color="auto" w:sz="4" w:space="0"/>
              <w:left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数量指标</w:t>
            </w:r>
          </w:p>
        </w:tc>
        <w:tc>
          <w:tcPr>
            <w:tcW w:w="4854" w:type="dxa"/>
            <w:gridSpan w:val="3"/>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开展知识产权宣传周活动（</w:t>
            </w:r>
            <w:r>
              <w:rPr>
                <w:rFonts w:hint="eastAsia" w:ascii="宋体" w:hAnsi="宋体" w:cs="宋体"/>
                <w:i w:val="0"/>
                <w:color w:val="000000"/>
                <w:kern w:val="0"/>
                <w:sz w:val="20"/>
                <w:szCs w:val="20"/>
                <w:highlight w:val="none"/>
                <w:u w:val="none"/>
                <w:lang w:val="en-US" w:eastAsia="zh-CN" w:bidi="ar"/>
              </w:rPr>
              <w:t>次</w:t>
            </w:r>
            <w:r>
              <w:rPr>
                <w:rFonts w:hint="eastAsia" w:ascii="宋体" w:hAnsi="宋体" w:eastAsia="宋体" w:cs="宋体"/>
                <w:i w:val="0"/>
                <w:color w:val="000000"/>
                <w:kern w:val="0"/>
                <w:sz w:val="20"/>
                <w:szCs w:val="20"/>
                <w:highlight w:val="none"/>
                <w:u w:val="none"/>
                <w:lang w:val="en-US" w:eastAsia="zh-CN" w:bidi="ar"/>
              </w:rPr>
              <w:t>）</w:t>
            </w:r>
          </w:p>
        </w:tc>
        <w:tc>
          <w:tcPr>
            <w:tcW w:w="154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w:t>
            </w:r>
            <w:r>
              <w:rPr>
                <w:rFonts w:hint="eastAsia" w:ascii="宋体" w:hAnsi="宋体" w:cs="宋体"/>
                <w:i w:val="0"/>
                <w:color w:val="000000"/>
                <w:kern w:val="0"/>
                <w:sz w:val="20"/>
                <w:szCs w:val="20"/>
                <w:highlight w:val="none"/>
                <w:u w:val="none"/>
                <w:lang w:val="en-US" w:eastAsia="zh-CN" w:bidi="ar"/>
              </w:rPr>
              <w:t>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8"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after="0" w:line="240" w:lineRule="exact"/>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知识产权保护执法能力、地理标志示范申报等人才建设活动（</w:t>
            </w:r>
            <w:r>
              <w:rPr>
                <w:rFonts w:hint="eastAsia" w:ascii="宋体" w:hAnsi="宋体" w:cs="宋体"/>
                <w:i w:val="0"/>
                <w:color w:val="000000"/>
                <w:kern w:val="0"/>
                <w:sz w:val="20"/>
                <w:szCs w:val="20"/>
                <w:highlight w:val="none"/>
                <w:u w:val="none"/>
                <w:lang w:val="en-US" w:eastAsia="zh-CN" w:bidi="ar"/>
              </w:rPr>
              <w:t>次</w:t>
            </w:r>
            <w:r>
              <w:rPr>
                <w:rFonts w:hint="eastAsia" w:ascii="宋体" w:hAnsi="宋体" w:eastAsia="宋体" w:cs="宋体"/>
                <w:i w:val="0"/>
                <w:color w:val="000000"/>
                <w:kern w:val="0"/>
                <w:sz w:val="20"/>
                <w:szCs w:val="20"/>
                <w:highlight w:val="none"/>
                <w:u w:val="none"/>
                <w:lang w:val="en-US" w:eastAsia="zh-CN" w:bidi="ar"/>
              </w:rPr>
              <w:t>）</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w:t>
            </w:r>
            <w:r>
              <w:rPr>
                <w:rFonts w:hint="eastAsia" w:ascii="宋体" w:hAnsi="宋体" w:cs="宋体"/>
                <w:i w:val="0"/>
                <w:color w:val="000000"/>
                <w:kern w:val="0"/>
                <w:sz w:val="20"/>
                <w:szCs w:val="20"/>
                <w:highlight w:val="none"/>
                <w:u w:val="none"/>
                <w:lang w:val="en-US" w:eastAsia="zh-CN" w:bidi="ar"/>
              </w:rPr>
              <w:t>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after="0" w:line="240" w:lineRule="exact"/>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both"/>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开展知识产权执法行动</w:t>
            </w:r>
            <w:r>
              <w:rPr>
                <w:rFonts w:hint="eastAsia" w:ascii="宋体" w:hAnsi="宋体" w:cs="宋体"/>
                <w:i w:val="0"/>
                <w:color w:val="000000"/>
                <w:kern w:val="0"/>
                <w:sz w:val="20"/>
                <w:szCs w:val="20"/>
                <w:highlight w:val="none"/>
                <w:u w:val="none"/>
                <w:lang w:val="en-US" w:eastAsia="zh-CN" w:bidi="ar"/>
              </w:rPr>
              <w:t>（次）</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w:t>
            </w:r>
            <w:r>
              <w:rPr>
                <w:rFonts w:hint="eastAsia" w:ascii="宋体" w:hAnsi="宋体" w:cs="宋体"/>
                <w:i w:val="0"/>
                <w:color w:val="000000"/>
                <w:kern w:val="0"/>
                <w:sz w:val="20"/>
                <w:szCs w:val="20"/>
                <w:highlight w:val="none"/>
                <w:u w:val="none"/>
                <w:lang w:val="en-US" w:eastAsia="zh-CN" w:bidi="ar"/>
              </w:rPr>
              <w:t>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after="0" w:line="240" w:lineRule="exact"/>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2"/>
                <w:sz w:val="20"/>
                <w:szCs w:val="20"/>
                <w:highlight w:val="none"/>
                <w:u w:val="none"/>
                <w:lang w:val="en-US" w:eastAsia="zh-CN" w:bidi="ar-SA"/>
              </w:rPr>
            </w:pPr>
            <w:r>
              <w:rPr>
                <w:rFonts w:hint="eastAsia" w:ascii="宋体" w:hAnsi="宋体" w:eastAsia="宋体" w:cs="宋体"/>
                <w:i w:val="0"/>
                <w:color w:val="auto"/>
                <w:kern w:val="0"/>
                <w:sz w:val="20"/>
                <w:szCs w:val="20"/>
                <w:highlight w:val="none"/>
                <w:u w:val="none"/>
                <w:lang w:val="en-US" w:eastAsia="zh-CN" w:bidi="ar"/>
              </w:rPr>
              <w:t>开展讲好“江西商标故事”活动次数</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w:t>
            </w:r>
            <w:r>
              <w:rPr>
                <w:rFonts w:hint="eastAsia" w:ascii="宋体" w:hAnsi="宋体" w:cs="宋体"/>
                <w:i w:val="0"/>
                <w:color w:val="000000"/>
                <w:kern w:val="0"/>
                <w:sz w:val="20"/>
                <w:szCs w:val="20"/>
                <w:highlight w:val="none"/>
                <w:u w:val="none"/>
                <w:lang w:val="en-US" w:eastAsia="zh-CN" w:bidi="ar"/>
              </w:rPr>
              <w:t>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after="0" w:line="240" w:lineRule="exact"/>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2"/>
                <w:sz w:val="20"/>
                <w:szCs w:val="20"/>
                <w:highlight w:val="none"/>
                <w:u w:val="none"/>
                <w:lang w:val="en-US" w:eastAsia="zh-CN" w:bidi="ar-SA"/>
              </w:rPr>
            </w:pPr>
            <w:r>
              <w:rPr>
                <w:rFonts w:hint="eastAsia" w:ascii="宋体" w:hAnsi="宋体" w:eastAsia="宋体" w:cs="宋体"/>
                <w:i w:val="0"/>
                <w:color w:val="auto"/>
                <w:kern w:val="0"/>
                <w:sz w:val="20"/>
                <w:szCs w:val="20"/>
                <w:highlight w:val="none"/>
                <w:u w:val="none"/>
                <w:lang w:val="en-US" w:eastAsia="zh-CN" w:bidi="ar"/>
              </w:rPr>
              <w:t>参与商标品牌创建能力活动人数</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w:t>
            </w:r>
            <w:r>
              <w:rPr>
                <w:rFonts w:hint="eastAsia" w:ascii="宋体" w:hAnsi="宋体" w:cs="宋体"/>
                <w:i w:val="0"/>
                <w:color w:val="000000"/>
                <w:kern w:val="0"/>
                <w:sz w:val="20"/>
                <w:szCs w:val="20"/>
                <w:highlight w:val="none"/>
                <w:u w:val="none"/>
                <w:lang w:val="en-US" w:eastAsia="zh-CN" w:bidi="ar"/>
              </w:rPr>
              <w:t>人次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after="0" w:line="240" w:lineRule="exact"/>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sz w:val="20"/>
                <w:szCs w:val="20"/>
                <w:highlight w:val="none"/>
                <w:u w:val="none"/>
              </w:rPr>
              <w:t>开展知识产权创造运用能力提升活动</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w:t>
            </w:r>
            <w:r>
              <w:rPr>
                <w:rFonts w:hint="eastAsia" w:ascii="宋体" w:hAnsi="宋体" w:cs="宋体"/>
                <w:i w:val="0"/>
                <w:color w:val="000000"/>
                <w:kern w:val="0"/>
                <w:sz w:val="20"/>
                <w:szCs w:val="20"/>
                <w:highlight w:val="none"/>
                <w:u w:val="none"/>
                <w:lang w:val="en-US" w:eastAsia="zh-CN" w:bidi="ar"/>
              </w:rPr>
              <w:t>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after="0" w:line="240" w:lineRule="exact"/>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both"/>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质量指标</w:t>
            </w: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both"/>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sz w:val="20"/>
                <w:szCs w:val="20"/>
                <w:highlight w:val="none"/>
                <w:u w:val="none"/>
              </w:rPr>
              <w:t>知识产权保护活动主题符合率</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cs="宋体"/>
                <w:i w:val="0"/>
                <w:color w:val="000000"/>
                <w:kern w:val="0"/>
                <w:sz w:val="20"/>
                <w:szCs w:val="20"/>
                <w:highlight w:val="none"/>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after="0" w:line="240" w:lineRule="exact"/>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both"/>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sz w:val="20"/>
                <w:szCs w:val="20"/>
                <w:highlight w:val="none"/>
                <w:u w:val="none"/>
              </w:rPr>
              <w:t>开展知识产权执法行动覆盖率</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w:t>
            </w:r>
            <w:r>
              <w:rPr>
                <w:rFonts w:hint="eastAsia" w:ascii="宋体" w:hAnsi="宋体" w:cs="宋体"/>
                <w:i w:val="0"/>
                <w:color w:val="000000"/>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after="0" w:line="240" w:lineRule="exact"/>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2"/>
                <w:sz w:val="20"/>
                <w:szCs w:val="20"/>
                <w:highlight w:val="none"/>
                <w:u w:val="none"/>
                <w:lang w:val="en-US" w:eastAsia="zh-CN" w:bidi="ar-SA"/>
              </w:rPr>
            </w:pPr>
            <w:r>
              <w:rPr>
                <w:rFonts w:hint="eastAsia" w:ascii="宋体" w:hAnsi="宋体" w:eastAsia="宋体" w:cs="宋体"/>
                <w:i w:val="0"/>
                <w:color w:val="auto"/>
                <w:kern w:val="0"/>
                <w:sz w:val="20"/>
                <w:szCs w:val="20"/>
                <w:highlight w:val="none"/>
                <w:u w:val="none"/>
                <w:lang w:val="en-US" w:eastAsia="zh-CN" w:bidi="ar"/>
              </w:rPr>
              <w:t>讲好“江西商标故事”活动主题符合率</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cs="宋体"/>
                <w:i w:val="0"/>
                <w:color w:val="000000"/>
                <w:kern w:val="0"/>
                <w:sz w:val="20"/>
                <w:szCs w:val="20"/>
                <w:highlight w:val="none"/>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after="0" w:line="240" w:lineRule="exact"/>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2"/>
                <w:sz w:val="20"/>
                <w:szCs w:val="20"/>
                <w:highlight w:val="none"/>
                <w:u w:val="none"/>
                <w:lang w:val="en-US" w:eastAsia="zh-CN" w:bidi="ar-SA"/>
              </w:rPr>
            </w:pPr>
            <w:r>
              <w:rPr>
                <w:rFonts w:hint="eastAsia" w:ascii="宋体" w:hAnsi="宋体" w:eastAsia="宋体" w:cs="宋体"/>
                <w:i w:val="0"/>
                <w:color w:val="auto"/>
                <w:kern w:val="0"/>
                <w:sz w:val="20"/>
                <w:szCs w:val="20"/>
                <w:highlight w:val="none"/>
                <w:u w:val="none"/>
                <w:lang w:val="en-US" w:eastAsia="zh-CN" w:bidi="ar"/>
              </w:rPr>
              <w:t>商标品牌创建能力活动参与率</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kern w:val="2"/>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w:t>
            </w:r>
            <w:r>
              <w:rPr>
                <w:rFonts w:hint="eastAsia" w:ascii="宋体" w:hAnsi="宋体" w:cs="宋体"/>
                <w:i w:val="0"/>
                <w:color w:val="000000"/>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after="0" w:line="240" w:lineRule="exact"/>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2"/>
                <w:sz w:val="20"/>
                <w:szCs w:val="20"/>
                <w:highlight w:val="none"/>
                <w:u w:val="none"/>
                <w:lang w:val="en-US" w:eastAsia="zh-CN" w:bidi="ar-SA"/>
              </w:rPr>
            </w:pPr>
            <w:r>
              <w:rPr>
                <w:rFonts w:hint="eastAsia" w:ascii="宋体" w:hAnsi="宋体" w:eastAsia="宋体" w:cs="宋体"/>
                <w:i w:val="0"/>
                <w:color w:val="auto"/>
                <w:kern w:val="0"/>
                <w:sz w:val="20"/>
                <w:szCs w:val="20"/>
                <w:highlight w:val="none"/>
                <w:u w:val="none"/>
                <w:lang w:val="en-US" w:eastAsia="zh-CN" w:bidi="ar"/>
              </w:rPr>
              <w:t>有效发明专利拥有量</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w:t>
            </w:r>
            <w:r>
              <w:rPr>
                <w:rFonts w:hint="eastAsia" w:ascii="宋体" w:hAnsi="宋体" w:cs="宋体"/>
                <w:i w:val="0"/>
                <w:color w:val="000000"/>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after="0" w:line="240" w:lineRule="exact"/>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2"/>
                <w:sz w:val="20"/>
                <w:szCs w:val="20"/>
                <w:highlight w:val="none"/>
                <w:u w:val="none"/>
                <w:lang w:val="en-US" w:eastAsia="zh-CN" w:bidi="ar-SA"/>
              </w:rPr>
            </w:pPr>
            <w:r>
              <w:rPr>
                <w:rFonts w:hint="eastAsia" w:ascii="宋体" w:hAnsi="宋体" w:eastAsia="宋体" w:cs="宋体"/>
                <w:i w:val="0"/>
                <w:color w:val="auto"/>
                <w:kern w:val="0"/>
                <w:sz w:val="20"/>
                <w:szCs w:val="20"/>
                <w:highlight w:val="none"/>
                <w:u w:val="none"/>
                <w:lang w:val="en-US" w:eastAsia="zh-CN" w:bidi="ar"/>
              </w:rPr>
              <w:t>知识产权公共信息服务备案网点覆盖面提升</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w:t>
            </w:r>
            <w:r>
              <w:rPr>
                <w:rFonts w:hint="eastAsia" w:ascii="宋体" w:hAnsi="宋体" w:cs="宋体"/>
                <w:i w:val="0"/>
                <w:color w:val="000000"/>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after="0" w:line="240" w:lineRule="exact"/>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both"/>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9"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时效指标</w:t>
            </w: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both"/>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sz w:val="20"/>
                <w:szCs w:val="20"/>
                <w:highlight w:val="none"/>
                <w:u w:val="none"/>
              </w:rPr>
              <w:t>知识产权保护执法能力、地理标志示范申报等人才建设活动完成时限</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****年**月**日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after="0" w:line="240" w:lineRule="exact"/>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both"/>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知识产权宣传周活动完成时限</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exact"/>
              <w:jc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****年**月**日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after="0" w:line="240" w:lineRule="exact"/>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both"/>
              <w:textAlignment w:val="center"/>
              <w:rPr>
                <w:rFonts w:hint="eastAsia" w:ascii="宋体" w:hAnsi="宋体" w:eastAsia="宋体" w:cs="宋体"/>
                <w:i w:val="0"/>
                <w:color w:val="auto"/>
                <w:sz w:val="20"/>
                <w:szCs w:val="20"/>
                <w:highlight w:val="none"/>
                <w:u w:val="none"/>
                <w:lang w:val="en-US" w:eastAsia="zh-CN" w:bidi="ar-SA"/>
              </w:rPr>
            </w:pPr>
            <w:r>
              <w:rPr>
                <w:rFonts w:hint="eastAsia" w:ascii="宋体" w:hAnsi="宋体" w:eastAsia="宋体" w:cs="宋体"/>
                <w:i w:val="0"/>
                <w:color w:val="auto"/>
                <w:kern w:val="0"/>
                <w:sz w:val="20"/>
                <w:szCs w:val="20"/>
                <w:highlight w:val="none"/>
                <w:u w:val="none"/>
                <w:lang w:val="en-US" w:eastAsia="zh-CN" w:bidi="ar"/>
              </w:rPr>
              <w:t>知识产权执法行动完成时限</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exact"/>
              <w:jc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****年**月**日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exact"/>
              <w:jc w:val="center"/>
              <w:rPr>
                <w:rFonts w:hint="eastAsia" w:ascii="宋体" w:hAnsi="宋体" w:eastAsia="宋体" w:cs="宋体"/>
                <w:i w:val="0"/>
                <w:color w:val="000000"/>
                <w:sz w:val="20"/>
                <w:szCs w:val="20"/>
                <w:highlight w:val="none"/>
                <w:u w:val="none"/>
                <w:lang w:val="en-US" w:eastAsia="zh-CN" w:bidi="ar-SA"/>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2"/>
                <w:sz w:val="20"/>
                <w:szCs w:val="20"/>
                <w:highlight w:val="none"/>
                <w:u w:val="none"/>
                <w:lang w:val="en-US" w:eastAsia="zh-CN" w:bidi="ar-SA"/>
              </w:rPr>
            </w:pPr>
            <w:r>
              <w:rPr>
                <w:rFonts w:hint="eastAsia" w:ascii="宋体" w:hAnsi="宋体" w:eastAsia="宋体" w:cs="宋体"/>
                <w:i w:val="0"/>
                <w:color w:val="auto"/>
                <w:kern w:val="0"/>
                <w:sz w:val="20"/>
                <w:szCs w:val="20"/>
                <w:highlight w:val="none"/>
                <w:u w:val="none"/>
                <w:lang w:val="en-US" w:eastAsia="zh-CN" w:bidi="ar"/>
              </w:rPr>
              <w:t>高价值专利培育完成时限</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exact"/>
              <w:jc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****年**月**日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 w:hRule="atLeast"/>
        </w:trPr>
        <w:tc>
          <w:tcPr>
            <w:tcW w:w="1361"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产出指标</w:t>
            </w:r>
          </w:p>
        </w:tc>
        <w:tc>
          <w:tcPr>
            <w:tcW w:w="1062"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成本指标</w:t>
            </w: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知识产权保护能力提升成本</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after="0" w:line="240" w:lineRule="exact"/>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讲好“江西商标故事”活动成本</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after="0" w:line="240" w:lineRule="exact"/>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商标品牌创建能力提升成本</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bottom w:val="single" w:color="auto" w:sz="4" w:space="0"/>
              <w:right w:val="single" w:color="auto" w:sz="4" w:space="0"/>
            </w:tcBorders>
            <w:noWrap w:val="0"/>
            <w:vAlign w:val="top"/>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after="0" w:line="240" w:lineRule="exact"/>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效益指标</w:t>
            </w:r>
          </w:p>
        </w:tc>
        <w:tc>
          <w:tcPr>
            <w:tcW w:w="1062"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kern w:val="0"/>
                <w:sz w:val="20"/>
                <w:szCs w:val="20"/>
                <w:highlight w:val="none"/>
                <w:u w:val="none"/>
                <w:lang w:val="en-US" w:eastAsia="zh-CN" w:bidi="ar"/>
              </w:rPr>
            </w:pPr>
            <w:r>
              <w:rPr>
                <w:rFonts w:hint="eastAsia" w:ascii="宋体" w:hAnsi="宋体" w:eastAsia="宋体" w:cs="宋体"/>
                <w:i w:val="0"/>
                <w:color w:val="000000"/>
                <w:kern w:val="0"/>
                <w:sz w:val="20"/>
                <w:szCs w:val="20"/>
                <w:highlight w:val="none"/>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指标</w:t>
            </w: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知识产权宣传周活动覆盖率</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exact"/>
              <w:jc w:val="center"/>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知识产权保护制度体系建设</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完善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exact"/>
              <w:jc w:val="center"/>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提升全省企业商标品牌美誉度、知名度和影响力</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exact"/>
              <w:jc w:val="center"/>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推动全省区域公用商标品牌建设数量</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推动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exact"/>
              <w:jc w:val="center"/>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每万人高价值发明专利拥有量</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b w:val="0"/>
                <w:bCs w:val="0"/>
                <w:i w:val="0"/>
                <w:color w:val="000000"/>
                <w:kern w:val="0"/>
                <w:sz w:val="20"/>
                <w:szCs w:val="20"/>
                <w:highlight w:val="none"/>
                <w:u w:val="none"/>
                <w:lang w:val="en-US" w:eastAsia="zh-CN" w:bidi="ar"/>
              </w:rPr>
            </w:pPr>
          </w:p>
        </w:tc>
        <w:tc>
          <w:tcPr>
            <w:tcW w:w="1062"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exact"/>
              <w:jc w:val="center"/>
              <w:rPr>
                <w:rFonts w:hint="eastAsia" w:ascii="宋体" w:hAnsi="宋体" w:eastAsia="宋体" w:cs="宋体"/>
                <w:sz w:val="20"/>
                <w:szCs w:val="20"/>
                <w:highlight w:val="none"/>
                <w:lang w:val="en-US" w:eastAsia="zh-CN"/>
              </w:rPr>
            </w:pP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3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000000"/>
                <w:sz w:val="20"/>
                <w:szCs w:val="20"/>
                <w:highlight w:val="none"/>
                <w:u w:val="none"/>
                <w:lang w:val="en-US" w:eastAsia="zh-CN" w:bidi="ar-SA"/>
              </w:rPr>
            </w:pPr>
            <w:r>
              <w:rPr>
                <w:rFonts w:hint="eastAsia" w:ascii="宋体" w:hAnsi="宋体" w:eastAsia="宋体" w:cs="宋体"/>
                <w:i w:val="0"/>
                <w:color w:val="000000"/>
                <w:kern w:val="0"/>
                <w:sz w:val="20"/>
                <w:szCs w:val="20"/>
                <w:highlight w:val="none"/>
                <w:u w:val="none"/>
                <w:lang w:val="en-US" w:eastAsia="zh-CN" w:bidi="ar"/>
              </w:rPr>
              <w:t>满意度指标</w:t>
            </w:r>
          </w:p>
        </w:tc>
        <w:tc>
          <w:tcPr>
            <w:tcW w:w="10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default" w:ascii="宋体" w:hAnsi="宋体" w:eastAsia="宋体" w:cs="宋体"/>
                <w:i w:val="0"/>
                <w:color w:val="auto"/>
                <w:sz w:val="20"/>
                <w:szCs w:val="20"/>
                <w:highlight w:val="none"/>
                <w:u w:val="none"/>
                <w:lang w:val="en-US" w:eastAsia="zh-CN" w:bidi="ar-SA"/>
              </w:rPr>
            </w:pPr>
            <w:r>
              <w:rPr>
                <w:rFonts w:hint="eastAsia" w:ascii="宋体" w:hAnsi="宋体" w:eastAsia="宋体" w:cs="宋体"/>
                <w:i w:val="0"/>
                <w:color w:val="auto"/>
                <w:sz w:val="20"/>
                <w:szCs w:val="20"/>
                <w:highlight w:val="none"/>
                <w:u w:val="none"/>
                <w:lang w:val="en-US" w:eastAsia="zh-CN" w:bidi="ar-SA"/>
              </w:rPr>
              <w:t>服务满意度指标</w:t>
            </w:r>
          </w:p>
        </w:tc>
        <w:tc>
          <w:tcPr>
            <w:tcW w:w="48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left"/>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活动参与人员的满意度</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240" w:lineRule="exact"/>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color w:val="auto"/>
                <w:kern w:val="0"/>
                <w:sz w:val="20"/>
                <w:szCs w:val="20"/>
                <w:highlight w:val="none"/>
                <w:u w:val="none"/>
                <w:lang w:val="en-US" w:eastAsia="zh-CN" w:bidi="ar"/>
              </w:rPr>
              <w:t>≥**%</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9"/>
        <w:rFonts w:hint="eastAsia"/>
        <w:sz w:val="28"/>
        <w:szCs w:val="24"/>
      </w:rPr>
    </w:pPr>
    <w:r>
      <w:rPr>
        <w:rStyle w:val="9"/>
        <w:rFonts w:hint="eastAsia"/>
        <w:color w:val="FFFFFF"/>
        <w:sz w:val="28"/>
        <w:szCs w:val="24"/>
      </w:rPr>
      <w:t>—</w:t>
    </w:r>
    <w:r>
      <w:rPr>
        <w:rStyle w:val="9"/>
        <w:rFonts w:hint="eastAsia"/>
        <w:sz w:val="28"/>
        <w:szCs w:val="24"/>
      </w:rPr>
      <w:t>—</w:t>
    </w:r>
    <w:r>
      <w:rPr>
        <w:rFonts w:ascii="宋体" w:hAnsi="宋体"/>
        <w:sz w:val="28"/>
        <w:szCs w:val="24"/>
      </w:rPr>
      <w:fldChar w:fldCharType="begin"/>
    </w:r>
    <w:r>
      <w:rPr>
        <w:rStyle w:val="9"/>
        <w:rFonts w:ascii="宋体" w:hAnsi="宋体"/>
        <w:sz w:val="28"/>
        <w:szCs w:val="24"/>
      </w:rPr>
      <w:instrText xml:space="preserve">PAGE  </w:instrText>
    </w:r>
    <w:r>
      <w:rPr>
        <w:rFonts w:ascii="宋体" w:hAnsi="宋体"/>
        <w:sz w:val="28"/>
        <w:szCs w:val="24"/>
      </w:rPr>
      <w:fldChar w:fldCharType="separate"/>
    </w:r>
    <w:r>
      <w:rPr>
        <w:rStyle w:val="9"/>
        <w:rFonts w:ascii="宋体" w:hAnsi="宋体"/>
        <w:sz w:val="28"/>
        <w:szCs w:val="24"/>
      </w:rPr>
      <w:t>1</w:t>
    </w:r>
    <w:r>
      <w:rPr>
        <w:rFonts w:ascii="宋体" w:hAnsi="宋体"/>
        <w:sz w:val="28"/>
        <w:szCs w:val="24"/>
      </w:rPr>
      <w:fldChar w:fldCharType="end"/>
    </w:r>
    <w:r>
      <w:rPr>
        <w:rStyle w:val="9"/>
        <w:rFonts w:hint="eastAsia"/>
        <w:sz w:val="28"/>
        <w:szCs w:val="24"/>
      </w:rPr>
      <w:t>—</w:t>
    </w:r>
    <w:r>
      <w:rPr>
        <w:rStyle w:val="9"/>
        <w:rFonts w:hint="eastAsia"/>
        <w:color w:val="FFFFFF"/>
        <w:sz w:val="28"/>
        <w:szCs w:val="24"/>
      </w:rPr>
      <w:t>—</w:t>
    </w:r>
  </w:p>
  <w:p>
    <w:pPr>
      <w:pStyle w:val="5"/>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9"/>
      </w:rPr>
    </w:pPr>
    <w:r>
      <w:fldChar w:fldCharType="begin"/>
    </w:r>
    <w:r>
      <w:rPr>
        <w:rStyle w:val="9"/>
      </w:rPr>
      <w:instrText xml:space="preserve">PAGE  </w:instrText>
    </w:r>
    <w:r>
      <w:fldChar w:fldCharType="separate"/>
    </w:r>
    <w:r>
      <w:fldChar w:fldCharType="end"/>
    </w:r>
  </w:p>
  <w:p>
    <w:pPr>
      <w:pStyle w:val="5"/>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217CE4"/>
    <w:rsid w:val="28217C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3"/>
    <w:basedOn w:val="1"/>
    <w:next w:val="1"/>
    <w:qFormat/>
    <w:uiPriority w:val="0"/>
    <w:pPr>
      <w:keepNext/>
      <w:keepLines/>
      <w:spacing w:before="260" w:beforeLines="0" w:after="260" w:afterLines="0" w:line="413" w:lineRule="auto"/>
      <w:outlineLvl w:val="2"/>
    </w:pPr>
    <w:rPr>
      <w:rFonts w:ascii="Times New Roman" w:hAnsi="Times New Roman" w:eastAsia="宋体" w:cs="Times New Roman"/>
      <w:b/>
      <w:bCs/>
      <w:sz w:val="32"/>
      <w:szCs w:val="32"/>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BodyText"/>
    <w:basedOn w:val="1"/>
    <w:next w:val="3"/>
    <w:qFormat/>
    <w:uiPriority w:val="0"/>
    <w:rPr>
      <w:rFonts w:ascii="Times New Roman" w:hAnsi="Times New Roman" w:eastAsia="仿宋_GB2312" w:cs="Times New Roman"/>
      <w:sz w:val="32"/>
    </w:rPr>
  </w:style>
  <w:style w:type="paragraph" w:customStyle="1" w:styleId="3">
    <w:name w:val="TOC5"/>
    <w:basedOn w:val="1"/>
    <w:next w:val="1"/>
    <w:qFormat/>
    <w:uiPriority w:val="0"/>
    <w:pPr>
      <w:ind w:left="1680"/>
      <w:textAlignment w:val="baseline"/>
    </w:pPr>
    <w:rPr>
      <w:rFonts w:ascii="Times New Roman" w:hAnsi="Times New Roman" w:eastAsia="宋体" w:cs="Times New Roman"/>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Normal (Web)"/>
    <w:basedOn w:val="1"/>
    <w:qFormat/>
    <w:uiPriority w:val="0"/>
    <w:rPr>
      <w:sz w:val="24"/>
    </w:r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2023-07-27T10:03:00Z</dcterms:created>
  <dc:creator>踏雪留痕</dc:creator>
  <cp:lastModifiedBy>踏雪留痕</cp:lastModifiedBy>
  <dcterms:modified xsi:type="dcterms:W3CDTF">2023-07-27T10:03:46Z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2052-11.8.2.9060</vt:lpwstr>
  </property>
</Properties>
</file>